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64B36A" w14:textId="4206138C" w:rsidR="003154A2" w:rsidRDefault="003154A2" w:rsidP="008F44CA">
      <w:pPr>
        <w:spacing w:before="120" w:after="120" w:line="276" w:lineRule="auto"/>
        <w:jc w:val="center"/>
        <w:rPr>
          <w:rFonts w:ascii="Arial" w:hAnsi="Arial" w:cs="Arial"/>
          <w:b/>
          <w:sz w:val="22"/>
          <w:szCs w:val="22"/>
          <w:u w:val="single"/>
        </w:rPr>
      </w:pPr>
      <w:r w:rsidRPr="00991697">
        <w:rPr>
          <w:rFonts w:ascii="Arial" w:hAnsi="Arial" w:cs="Arial"/>
          <w:b/>
          <w:sz w:val="22"/>
          <w:szCs w:val="22"/>
          <w:u w:val="single"/>
        </w:rPr>
        <w:t xml:space="preserve">PROGRAMA </w:t>
      </w:r>
      <w:r w:rsidR="00F76D9D">
        <w:rPr>
          <w:rFonts w:ascii="Arial" w:hAnsi="Arial" w:cs="Arial"/>
          <w:b/>
          <w:sz w:val="22"/>
          <w:szCs w:val="22"/>
          <w:u w:val="single"/>
        </w:rPr>
        <w:t>31KB</w:t>
      </w:r>
    </w:p>
    <w:p w14:paraId="43A29219" w14:textId="77777777" w:rsidR="005F015F" w:rsidRDefault="005F015F" w:rsidP="005F015F">
      <w:pPr>
        <w:spacing w:before="120" w:after="120" w:line="276" w:lineRule="auto"/>
        <w:jc w:val="center"/>
        <w:rPr>
          <w:rFonts w:ascii="Arial" w:hAnsi="Arial" w:cs="Arial"/>
          <w:b/>
          <w:sz w:val="22"/>
          <w:szCs w:val="22"/>
          <w:u w:val="single"/>
        </w:rPr>
      </w:pPr>
      <w:r>
        <w:rPr>
          <w:rFonts w:ascii="Arial" w:hAnsi="Arial" w:cs="Arial"/>
          <w:b/>
          <w:sz w:val="22"/>
          <w:szCs w:val="22"/>
          <w:u w:val="single"/>
        </w:rPr>
        <w:t>PROYECTOS TRACTORES DE DIGITALIZACIÓN DE LA ADMINISTRACIÓN GENERAL DEL ESTADO. SANIDAD</w:t>
      </w:r>
    </w:p>
    <w:p w14:paraId="359B94A4" w14:textId="1F469311" w:rsidR="008F44CA" w:rsidRPr="00762746" w:rsidRDefault="008F44CA" w:rsidP="008F44CA">
      <w:pPr>
        <w:spacing w:before="120" w:after="120" w:line="276" w:lineRule="auto"/>
        <w:jc w:val="center"/>
        <w:rPr>
          <w:rFonts w:ascii="Arial" w:hAnsi="Arial" w:cs="Arial"/>
          <w:sz w:val="22"/>
          <w:szCs w:val="22"/>
          <w:u w:val="single"/>
        </w:rPr>
      </w:pPr>
      <w:r>
        <w:rPr>
          <w:rFonts w:ascii="Arial" w:hAnsi="Arial" w:cs="Arial"/>
          <w:b/>
          <w:sz w:val="22"/>
          <w:szCs w:val="22"/>
          <w:u w:val="single"/>
        </w:rPr>
        <w:t xml:space="preserve">SERVICIO 31.101 MINISTERIO DE </w:t>
      </w:r>
      <w:proofErr w:type="gramStart"/>
      <w:r>
        <w:rPr>
          <w:rFonts w:ascii="Arial" w:hAnsi="Arial" w:cs="Arial"/>
          <w:b/>
          <w:sz w:val="22"/>
          <w:szCs w:val="22"/>
          <w:u w:val="single"/>
        </w:rPr>
        <w:t>CONSUMO.-</w:t>
      </w:r>
      <w:proofErr w:type="gramEnd"/>
      <w:r>
        <w:rPr>
          <w:rFonts w:ascii="Arial" w:hAnsi="Arial" w:cs="Arial"/>
          <w:b/>
          <w:sz w:val="22"/>
          <w:szCs w:val="22"/>
          <w:u w:val="single"/>
        </w:rPr>
        <w:t xml:space="preserve"> AGENCIA ESPAÑOLA DE SEGURIDAD ALIMENTARIA Y NUTRICIÓN (AESAN)</w:t>
      </w:r>
    </w:p>
    <w:p w14:paraId="082E6492" w14:textId="77777777" w:rsidR="00762746" w:rsidRPr="00B9503F" w:rsidRDefault="00762746" w:rsidP="008F44CA">
      <w:pPr>
        <w:spacing w:before="120" w:after="120" w:line="276" w:lineRule="auto"/>
        <w:jc w:val="both"/>
        <w:rPr>
          <w:rFonts w:ascii="Arial" w:hAnsi="Arial" w:cs="Arial"/>
          <w:b/>
          <w:sz w:val="22"/>
          <w:szCs w:val="22"/>
          <w:u w:val="single"/>
        </w:rPr>
      </w:pPr>
    </w:p>
    <w:p w14:paraId="3C604F24" w14:textId="77777777" w:rsidR="00FE2072" w:rsidRPr="00B9503F" w:rsidRDefault="00FE2072" w:rsidP="008F44CA">
      <w:pPr>
        <w:spacing w:before="120" w:after="120" w:line="276" w:lineRule="auto"/>
        <w:jc w:val="both"/>
        <w:rPr>
          <w:rFonts w:ascii="Arial" w:hAnsi="Arial" w:cs="Arial"/>
          <w:b/>
          <w:sz w:val="22"/>
          <w:szCs w:val="22"/>
        </w:rPr>
      </w:pPr>
      <w:r w:rsidRPr="00B9503F">
        <w:rPr>
          <w:rFonts w:ascii="Arial" w:hAnsi="Arial" w:cs="Arial"/>
          <w:b/>
          <w:sz w:val="22"/>
          <w:szCs w:val="22"/>
        </w:rPr>
        <w:t>1. Denominación del componente:</w:t>
      </w:r>
    </w:p>
    <w:p w14:paraId="1A03C9E4" w14:textId="77777777" w:rsidR="00FE2072" w:rsidRPr="00B9503F" w:rsidRDefault="00FE2072" w:rsidP="008F44CA">
      <w:pPr>
        <w:spacing w:before="120" w:after="120" w:line="276" w:lineRule="auto"/>
        <w:jc w:val="both"/>
        <w:rPr>
          <w:rFonts w:ascii="Arial" w:hAnsi="Arial" w:cs="Arial"/>
          <w:b/>
          <w:sz w:val="22"/>
          <w:szCs w:val="22"/>
        </w:rPr>
      </w:pPr>
      <w:r w:rsidRPr="00B9503F">
        <w:rPr>
          <w:rFonts w:ascii="Arial" w:hAnsi="Arial" w:cs="Arial"/>
          <w:b/>
          <w:sz w:val="22"/>
          <w:szCs w:val="22"/>
        </w:rPr>
        <w:t>COMPONENTE 11. Modernización de las Administraciones Públicas.</w:t>
      </w:r>
    </w:p>
    <w:p w14:paraId="1E64DF1C" w14:textId="77777777" w:rsidR="00FE2072" w:rsidRPr="00B9503F" w:rsidRDefault="00FE2072" w:rsidP="008F44CA">
      <w:pPr>
        <w:spacing w:before="120" w:after="120" w:line="276" w:lineRule="auto"/>
        <w:jc w:val="both"/>
        <w:rPr>
          <w:rFonts w:ascii="Arial" w:hAnsi="Arial" w:cs="Arial"/>
          <w:b/>
          <w:sz w:val="22"/>
          <w:szCs w:val="22"/>
        </w:rPr>
      </w:pPr>
    </w:p>
    <w:p w14:paraId="1ED00041" w14:textId="77777777" w:rsidR="00FE2072" w:rsidRPr="00B9503F" w:rsidRDefault="00FE2072" w:rsidP="008F44CA">
      <w:pPr>
        <w:spacing w:before="120" w:after="120" w:line="276" w:lineRule="auto"/>
        <w:jc w:val="both"/>
        <w:rPr>
          <w:rFonts w:ascii="Arial" w:hAnsi="Arial" w:cs="Arial"/>
          <w:b/>
          <w:sz w:val="22"/>
          <w:szCs w:val="22"/>
        </w:rPr>
      </w:pPr>
      <w:r w:rsidRPr="00B9503F">
        <w:rPr>
          <w:rFonts w:ascii="Arial" w:hAnsi="Arial" w:cs="Arial"/>
          <w:b/>
          <w:sz w:val="22"/>
          <w:szCs w:val="22"/>
        </w:rPr>
        <w:t>2. Descripción General del componente:</w:t>
      </w:r>
    </w:p>
    <w:p w14:paraId="085310C6" w14:textId="77777777" w:rsidR="00FE2072" w:rsidRPr="00B9503F" w:rsidRDefault="00FE2072" w:rsidP="008F44CA">
      <w:pPr>
        <w:spacing w:before="120" w:after="120" w:line="276" w:lineRule="auto"/>
        <w:jc w:val="both"/>
        <w:rPr>
          <w:rFonts w:ascii="Arial" w:hAnsi="Arial" w:cs="Arial"/>
          <w:bCs/>
          <w:sz w:val="22"/>
          <w:szCs w:val="22"/>
        </w:rPr>
      </w:pPr>
      <w:r w:rsidRPr="00B9503F">
        <w:rPr>
          <w:rFonts w:ascii="Arial" w:hAnsi="Arial" w:cs="Arial"/>
          <w:bCs/>
          <w:sz w:val="22"/>
          <w:szCs w:val="22"/>
        </w:rPr>
        <w:t>Las Administraciones Públicas tienen un papel fundamental en el buen funcionamiento de la economía: la prestación eficiente de los servicios públicos y su potencial tractor sobre la transformación del tejido productivo supone un factor fundamental de productividad, de crecimiento y bienestar. Por ello, la modernización del conjunto de agentes del sector público, mediante su digitalización, la renovación de su equipamiento con principios de eficiencia energética, y la modernización de procesos, además de la capacitación del conjunto de empleados públicos, son objetivos importantes del Plan de Recuperación, Transformación y Resiliencia, recogidos de forma transversal en el mismo y de forma específica en el presente componente.</w:t>
      </w:r>
    </w:p>
    <w:p w14:paraId="75B726B6" w14:textId="77777777" w:rsidR="00FE2072" w:rsidRPr="00B9503F" w:rsidRDefault="00FE2072" w:rsidP="008F44CA">
      <w:pPr>
        <w:spacing w:before="120" w:after="120" w:line="276" w:lineRule="auto"/>
        <w:jc w:val="both"/>
        <w:rPr>
          <w:rFonts w:ascii="Arial" w:hAnsi="Arial" w:cs="Arial"/>
          <w:bCs/>
          <w:sz w:val="22"/>
          <w:szCs w:val="22"/>
        </w:rPr>
      </w:pPr>
      <w:r w:rsidRPr="00B9503F">
        <w:rPr>
          <w:rFonts w:ascii="Arial" w:hAnsi="Arial" w:cs="Arial"/>
          <w:bCs/>
          <w:sz w:val="22"/>
          <w:szCs w:val="22"/>
        </w:rPr>
        <w:t>Junto con los objetivos estratégicos de aplicación transversal para toda la Administración General del Estado, el presente componente prevé objetivos específicos ligados a importantes políticas públicas, a la ágil ejecución del Plan de Recuperación, así como medidas relativas a la digitalización de las Administraciones Públicas de ámbito autonómico y local.</w:t>
      </w:r>
    </w:p>
    <w:p w14:paraId="0E550975" w14:textId="77777777" w:rsidR="00FE2072" w:rsidRPr="00B9503F" w:rsidRDefault="00FE2072" w:rsidP="008F44CA">
      <w:pPr>
        <w:spacing w:before="120" w:after="120" w:line="276" w:lineRule="auto"/>
        <w:jc w:val="both"/>
        <w:rPr>
          <w:rFonts w:ascii="Arial" w:hAnsi="Arial" w:cs="Arial"/>
          <w:bCs/>
          <w:sz w:val="22"/>
          <w:szCs w:val="22"/>
        </w:rPr>
      </w:pPr>
    </w:p>
    <w:p w14:paraId="6F58925C" w14:textId="77777777" w:rsidR="00FE2072" w:rsidRPr="00B9503F" w:rsidRDefault="00FE2072" w:rsidP="008F44CA">
      <w:pPr>
        <w:spacing w:before="120" w:after="120" w:line="276" w:lineRule="auto"/>
        <w:jc w:val="both"/>
        <w:rPr>
          <w:rFonts w:ascii="Arial" w:hAnsi="Arial" w:cs="Arial"/>
          <w:bCs/>
          <w:sz w:val="22"/>
          <w:szCs w:val="22"/>
        </w:rPr>
      </w:pPr>
      <w:r w:rsidRPr="00B9503F">
        <w:rPr>
          <w:rFonts w:ascii="Arial" w:hAnsi="Arial" w:cs="Arial"/>
          <w:bCs/>
          <w:sz w:val="22"/>
          <w:szCs w:val="22"/>
        </w:rPr>
        <w:t>Los objetivos estratégicos son:</w:t>
      </w:r>
    </w:p>
    <w:p w14:paraId="2BA017BC" w14:textId="23C87928" w:rsidR="00FE2072" w:rsidRPr="00B9503F" w:rsidRDefault="008F44CA" w:rsidP="008F44CA">
      <w:pPr>
        <w:spacing w:before="120" w:after="120" w:line="276" w:lineRule="auto"/>
        <w:ind w:left="567" w:hanging="567"/>
        <w:jc w:val="both"/>
        <w:rPr>
          <w:rFonts w:ascii="Arial" w:hAnsi="Arial" w:cs="Arial"/>
          <w:bCs/>
          <w:sz w:val="22"/>
          <w:szCs w:val="22"/>
        </w:rPr>
      </w:pPr>
      <w:r>
        <w:rPr>
          <w:rFonts w:ascii="Arial" w:hAnsi="Arial" w:cs="Arial"/>
          <w:bCs/>
          <w:sz w:val="22"/>
          <w:szCs w:val="22"/>
        </w:rPr>
        <w:t>2.</w:t>
      </w:r>
      <w:r w:rsidR="00FE2072" w:rsidRPr="00B9503F">
        <w:rPr>
          <w:rFonts w:ascii="Arial" w:hAnsi="Arial" w:cs="Arial"/>
          <w:bCs/>
          <w:sz w:val="22"/>
          <w:szCs w:val="22"/>
        </w:rPr>
        <w:t>1.</w:t>
      </w:r>
      <w:r w:rsidR="00FE2072" w:rsidRPr="00B9503F">
        <w:rPr>
          <w:rFonts w:ascii="Arial" w:hAnsi="Arial" w:cs="Arial"/>
          <w:bCs/>
          <w:sz w:val="22"/>
          <w:szCs w:val="22"/>
        </w:rPr>
        <w:tab/>
        <w:t>Digitalización de la Administración y procesos, tanto a nivel transversal como con cinco proyectos prioritarios en ámbitos estratégicos: justicia, servicios públicos de empleo, datos de salud pública, gestión de consulados y Administración territorial del Estado.</w:t>
      </w:r>
    </w:p>
    <w:p w14:paraId="26AA9A02" w14:textId="6594A70B" w:rsidR="00FE2072" w:rsidRPr="00B9503F" w:rsidRDefault="00FE2072" w:rsidP="008F44CA">
      <w:pPr>
        <w:spacing w:before="120" w:after="120" w:line="276" w:lineRule="auto"/>
        <w:ind w:left="567" w:hanging="567"/>
        <w:jc w:val="both"/>
        <w:rPr>
          <w:rFonts w:ascii="Arial" w:hAnsi="Arial" w:cs="Arial"/>
          <w:bCs/>
          <w:sz w:val="22"/>
          <w:szCs w:val="22"/>
        </w:rPr>
      </w:pPr>
      <w:r w:rsidRPr="00B9503F">
        <w:rPr>
          <w:rFonts w:ascii="Arial" w:hAnsi="Arial" w:cs="Arial"/>
          <w:bCs/>
          <w:sz w:val="22"/>
          <w:szCs w:val="22"/>
        </w:rPr>
        <w:t>2.</w:t>
      </w:r>
      <w:r w:rsidR="008F44CA">
        <w:rPr>
          <w:rFonts w:ascii="Arial" w:hAnsi="Arial" w:cs="Arial"/>
          <w:bCs/>
          <w:sz w:val="22"/>
          <w:szCs w:val="22"/>
        </w:rPr>
        <w:t>2.</w:t>
      </w:r>
      <w:r w:rsidRPr="00B9503F">
        <w:rPr>
          <w:rFonts w:ascii="Arial" w:hAnsi="Arial" w:cs="Arial"/>
          <w:bCs/>
          <w:sz w:val="22"/>
          <w:szCs w:val="22"/>
        </w:rPr>
        <w:tab/>
        <w:t>Plan de transición energética en la Administración General del Estado.</w:t>
      </w:r>
    </w:p>
    <w:p w14:paraId="12BA6355" w14:textId="1ACA7FC7" w:rsidR="00FE2072" w:rsidRPr="00B9503F" w:rsidRDefault="008F44CA" w:rsidP="008F44CA">
      <w:pPr>
        <w:spacing w:before="120" w:after="120" w:line="276" w:lineRule="auto"/>
        <w:ind w:left="567" w:hanging="567"/>
        <w:jc w:val="both"/>
        <w:rPr>
          <w:rFonts w:ascii="Arial" w:hAnsi="Arial" w:cs="Arial"/>
          <w:bCs/>
          <w:sz w:val="22"/>
          <w:szCs w:val="22"/>
        </w:rPr>
      </w:pPr>
      <w:r>
        <w:rPr>
          <w:rFonts w:ascii="Arial" w:hAnsi="Arial" w:cs="Arial"/>
          <w:bCs/>
          <w:sz w:val="22"/>
          <w:szCs w:val="22"/>
        </w:rPr>
        <w:t>2.</w:t>
      </w:r>
      <w:r w:rsidR="00FE2072" w:rsidRPr="00B9503F">
        <w:rPr>
          <w:rFonts w:ascii="Arial" w:hAnsi="Arial" w:cs="Arial"/>
          <w:bCs/>
          <w:sz w:val="22"/>
          <w:szCs w:val="22"/>
        </w:rPr>
        <w:t>3.</w:t>
      </w:r>
      <w:r w:rsidR="00FE2072" w:rsidRPr="00B9503F">
        <w:rPr>
          <w:rFonts w:ascii="Arial" w:hAnsi="Arial" w:cs="Arial"/>
          <w:bCs/>
          <w:sz w:val="22"/>
          <w:szCs w:val="22"/>
        </w:rPr>
        <w:tab/>
        <w:t>Modernización de las Administraciones Públicas, incluyendo medidas dirigidas hacia la mejora en la gestión administrativa y financiera, reformas normativas en el ámbito del empleo público, un nuevo marco transversal de relaciones interadministrativas, un refuerzo del marco de contratación pública, una reforma de la gobernanza económica y las reformas necesarias para la mejor ejecución y gobernanza del Plan.</w:t>
      </w:r>
    </w:p>
    <w:p w14:paraId="41444FD5" w14:textId="3946010B" w:rsidR="00FE2072" w:rsidRPr="00B9503F" w:rsidRDefault="008F44CA" w:rsidP="008F44CA">
      <w:pPr>
        <w:spacing w:before="120" w:after="120" w:line="276" w:lineRule="auto"/>
        <w:ind w:left="567" w:hanging="567"/>
        <w:jc w:val="both"/>
        <w:rPr>
          <w:rFonts w:ascii="Arial" w:hAnsi="Arial" w:cs="Arial"/>
          <w:bCs/>
          <w:sz w:val="22"/>
          <w:szCs w:val="22"/>
        </w:rPr>
      </w:pPr>
      <w:r>
        <w:rPr>
          <w:rFonts w:ascii="Arial" w:hAnsi="Arial" w:cs="Arial"/>
          <w:bCs/>
          <w:sz w:val="22"/>
          <w:szCs w:val="22"/>
        </w:rPr>
        <w:t>2.4</w:t>
      </w:r>
      <w:r w:rsidR="00FE2072" w:rsidRPr="00B9503F">
        <w:rPr>
          <w:rFonts w:ascii="Arial" w:hAnsi="Arial" w:cs="Arial"/>
          <w:bCs/>
          <w:sz w:val="22"/>
          <w:szCs w:val="22"/>
        </w:rPr>
        <w:t>.</w:t>
      </w:r>
      <w:r w:rsidR="00FE2072" w:rsidRPr="00B9503F">
        <w:rPr>
          <w:rFonts w:ascii="Arial" w:hAnsi="Arial" w:cs="Arial"/>
          <w:bCs/>
          <w:sz w:val="22"/>
          <w:szCs w:val="22"/>
        </w:rPr>
        <w:tab/>
        <w:t>Refuerzo de las capacidades administrativas, incluyendo medidas dirigidas a reformar las capacidades de las Administraciones Públicas para asegurar la adecuada implementación del Plan.</w:t>
      </w:r>
    </w:p>
    <w:p w14:paraId="2114760D" w14:textId="31566FB2" w:rsidR="00FE2072" w:rsidRPr="00B9503F" w:rsidRDefault="00FE2072" w:rsidP="008F44CA">
      <w:pPr>
        <w:spacing w:before="120" w:after="120" w:line="276" w:lineRule="auto"/>
        <w:jc w:val="both"/>
        <w:rPr>
          <w:rFonts w:ascii="Arial" w:hAnsi="Arial" w:cs="Arial"/>
          <w:b/>
          <w:sz w:val="22"/>
          <w:szCs w:val="22"/>
        </w:rPr>
      </w:pPr>
    </w:p>
    <w:p w14:paraId="5AADE6BD" w14:textId="77777777" w:rsidR="00FE2072" w:rsidRPr="00B9503F" w:rsidRDefault="00FE2072" w:rsidP="008F44CA">
      <w:pPr>
        <w:spacing w:before="120" w:after="120" w:line="276" w:lineRule="auto"/>
        <w:jc w:val="both"/>
        <w:rPr>
          <w:rFonts w:ascii="Arial" w:hAnsi="Arial" w:cs="Arial"/>
          <w:b/>
          <w:sz w:val="22"/>
          <w:szCs w:val="22"/>
        </w:rPr>
      </w:pPr>
      <w:r w:rsidRPr="00B9503F">
        <w:rPr>
          <w:rFonts w:ascii="Arial" w:hAnsi="Arial" w:cs="Arial"/>
          <w:b/>
          <w:sz w:val="22"/>
          <w:szCs w:val="22"/>
        </w:rPr>
        <w:lastRenderedPageBreak/>
        <w:t>3. Principales objetivos del componente:</w:t>
      </w:r>
    </w:p>
    <w:p w14:paraId="5C79C01E" w14:textId="77777777" w:rsidR="00FE2072" w:rsidRPr="00B9503F" w:rsidRDefault="00FE2072" w:rsidP="008F44CA">
      <w:pPr>
        <w:spacing w:before="120" w:after="120" w:line="276" w:lineRule="auto"/>
        <w:jc w:val="both"/>
        <w:rPr>
          <w:rFonts w:ascii="Arial" w:hAnsi="Arial" w:cs="Arial"/>
          <w:bCs/>
          <w:sz w:val="22"/>
          <w:szCs w:val="22"/>
        </w:rPr>
      </w:pPr>
      <w:r w:rsidRPr="00B9503F">
        <w:rPr>
          <w:rFonts w:ascii="Arial" w:hAnsi="Arial" w:cs="Arial"/>
          <w:bCs/>
          <w:sz w:val="22"/>
          <w:szCs w:val="22"/>
        </w:rPr>
        <w:t>Los objetivos estratégicos desarrollan una serie de objetivos operativos, estructurados</w:t>
      </w:r>
    </w:p>
    <w:p w14:paraId="45CC2879" w14:textId="77777777" w:rsidR="00FE2072" w:rsidRPr="00B9503F" w:rsidRDefault="00FE2072" w:rsidP="008F44CA">
      <w:pPr>
        <w:spacing w:before="120" w:after="120" w:line="276" w:lineRule="auto"/>
        <w:jc w:val="both"/>
        <w:rPr>
          <w:rFonts w:ascii="Arial" w:hAnsi="Arial" w:cs="Arial"/>
          <w:bCs/>
          <w:sz w:val="22"/>
          <w:szCs w:val="22"/>
        </w:rPr>
      </w:pPr>
      <w:r w:rsidRPr="00B9503F">
        <w:rPr>
          <w:rFonts w:ascii="Arial" w:hAnsi="Arial" w:cs="Arial"/>
          <w:bCs/>
          <w:sz w:val="22"/>
          <w:szCs w:val="22"/>
        </w:rPr>
        <w:t>en los siguientes:</w:t>
      </w:r>
    </w:p>
    <w:p w14:paraId="4439812C" w14:textId="3A350F03" w:rsidR="00FE2072" w:rsidRPr="00B9503F" w:rsidRDefault="00F76D9D" w:rsidP="008F44CA">
      <w:pPr>
        <w:spacing w:before="120" w:after="120" w:line="276" w:lineRule="auto"/>
        <w:jc w:val="both"/>
        <w:rPr>
          <w:rFonts w:ascii="Arial" w:hAnsi="Arial" w:cs="Arial"/>
          <w:bCs/>
          <w:sz w:val="22"/>
          <w:szCs w:val="22"/>
        </w:rPr>
      </w:pPr>
      <w:r w:rsidRPr="00B9503F">
        <w:rPr>
          <w:rFonts w:ascii="Arial" w:hAnsi="Arial" w:cs="Arial"/>
          <w:b/>
          <w:sz w:val="22"/>
          <w:szCs w:val="22"/>
        </w:rPr>
        <w:t>3.</w:t>
      </w:r>
      <w:r w:rsidR="00FE2072" w:rsidRPr="00B9503F">
        <w:rPr>
          <w:rFonts w:ascii="Arial" w:hAnsi="Arial" w:cs="Arial"/>
          <w:b/>
          <w:sz w:val="22"/>
          <w:szCs w:val="22"/>
        </w:rPr>
        <w:t>1.</w:t>
      </w:r>
      <w:r w:rsidR="00FE2072" w:rsidRPr="00B9503F">
        <w:rPr>
          <w:rFonts w:ascii="Arial" w:hAnsi="Arial" w:cs="Arial"/>
          <w:b/>
          <w:sz w:val="22"/>
          <w:szCs w:val="22"/>
        </w:rPr>
        <w:tab/>
        <w:t>Digitalización de la Administración y procesos</w:t>
      </w:r>
      <w:r w:rsidR="00FE2072" w:rsidRPr="00B9503F">
        <w:rPr>
          <w:rFonts w:ascii="Arial" w:hAnsi="Arial" w:cs="Arial"/>
          <w:bCs/>
          <w:sz w:val="22"/>
          <w:szCs w:val="22"/>
        </w:rPr>
        <w:t>:</w:t>
      </w:r>
    </w:p>
    <w:p w14:paraId="1ADE29E0" w14:textId="77777777" w:rsidR="00FE2072" w:rsidRPr="00B9503F" w:rsidRDefault="00FE2072" w:rsidP="008F44CA">
      <w:pPr>
        <w:spacing w:before="120" w:after="120" w:line="276" w:lineRule="auto"/>
        <w:ind w:left="426" w:hanging="426"/>
        <w:jc w:val="both"/>
        <w:rPr>
          <w:rFonts w:ascii="Arial" w:hAnsi="Arial" w:cs="Arial"/>
          <w:bCs/>
          <w:sz w:val="22"/>
          <w:szCs w:val="22"/>
        </w:rPr>
      </w:pPr>
      <w:r w:rsidRPr="00B9503F">
        <w:rPr>
          <w:rFonts w:ascii="Arial" w:hAnsi="Arial" w:cs="Arial"/>
          <w:bCs/>
          <w:sz w:val="22"/>
          <w:szCs w:val="22"/>
        </w:rPr>
        <w:t>•</w:t>
      </w:r>
      <w:r w:rsidRPr="00B9503F">
        <w:rPr>
          <w:rFonts w:ascii="Arial" w:hAnsi="Arial" w:cs="Arial"/>
          <w:bCs/>
          <w:sz w:val="22"/>
          <w:szCs w:val="22"/>
        </w:rPr>
        <w:tab/>
        <w:t>Servicios digitales eficientes, seguros y fiables: Para ciudadanos, empresas y empleados públicos.</w:t>
      </w:r>
    </w:p>
    <w:p w14:paraId="57F937A3" w14:textId="77777777" w:rsidR="00FE2072" w:rsidRPr="00B9503F" w:rsidRDefault="00FE2072" w:rsidP="008F44CA">
      <w:pPr>
        <w:spacing w:before="120" w:after="120" w:line="276" w:lineRule="auto"/>
        <w:ind w:left="426" w:hanging="426"/>
        <w:jc w:val="both"/>
        <w:rPr>
          <w:rFonts w:ascii="Arial" w:hAnsi="Arial" w:cs="Arial"/>
          <w:bCs/>
          <w:sz w:val="22"/>
          <w:szCs w:val="22"/>
        </w:rPr>
      </w:pPr>
      <w:r w:rsidRPr="00B9503F">
        <w:rPr>
          <w:rFonts w:ascii="Arial" w:hAnsi="Arial" w:cs="Arial"/>
          <w:bCs/>
          <w:sz w:val="22"/>
          <w:szCs w:val="22"/>
        </w:rPr>
        <w:t>•</w:t>
      </w:r>
      <w:r w:rsidRPr="00B9503F">
        <w:rPr>
          <w:rFonts w:ascii="Arial" w:hAnsi="Arial" w:cs="Arial"/>
          <w:bCs/>
          <w:sz w:val="22"/>
          <w:szCs w:val="22"/>
        </w:rPr>
        <w:tab/>
        <w:t>Administración guiada por datos: La información de los ciudadanos y personas jurídicas se utiliza para diseñar políticas públicas alineadas con la realidad social, económica y territorial de España, así como para la construcción de una experiencia ciudadana disruptiva de los servicios públicos.</w:t>
      </w:r>
    </w:p>
    <w:p w14:paraId="0ED84A13" w14:textId="77777777" w:rsidR="00FE2072" w:rsidRPr="00B9503F" w:rsidRDefault="00FE2072" w:rsidP="008F44CA">
      <w:pPr>
        <w:spacing w:before="120" w:after="120" w:line="276" w:lineRule="auto"/>
        <w:ind w:left="426" w:hanging="426"/>
        <w:jc w:val="both"/>
        <w:rPr>
          <w:rFonts w:ascii="Arial" w:hAnsi="Arial" w:cs="Arial"/>
          <w:bCs/>
          <w:sz w:val="22"/>
          <w:szCs w:val="22"/>
        </w:rPr>
      </w:pPr>
      <w:r w:rsidRPr="00B9503F">
        <w:rPr>
          <w:rFonts w:ascii="Arial" w:hAnsi="Arial" w:cs="Arial"/>
          <w:bCs/>
          <w:sz w:val="22"/>
          <w:szCs w:val="22"/>
        </w:rPr>
        <w:t>•</w:t>
      </w:r>
      <w:r w:rsidRPr="00B9503F">
        <w:rPr>
          <w:rFonts w:ascii="Arial" w:hAnsi="Arial" w:cs="Arial"/>
          <w:bCs/>
          <w:sz w:val="22"/>
          <w:szCs w:val="22"/>
        </w:rPr>
        <w:tab/>
        <w:t xml:space="preserve">Democratización y universalización del acceso a las tecnologías emergentes: Este componente tiene que permitir desarrollar infraestructuras comunes que permitan a todas las Administraciones sumarse a la revolución tecnológica que está suponiendo la irrupción de la inteligencia artificial, analítica de datos o </w:t>
      </w:r>
      <w:proofErr w:type="spellStart"/>
      <w:r w:rsidRPr="00B9503F">
        <w:rPr>
          <w:rFonts w:ascii="Arial" w:hAnsi="Arial" w:cs="Arial"/>
          <w:bCs/>
          <w:sz w:val="22"/>
          <w:szCs w:val="22"/>
        </w:rPr>
        <w:t>blockchain</w:t>
      </w:r>
      <w:proofErr w:type="spellEnd"/>
      <w:r w:rsidRPr="00B9503F">
        <w:rPr>
          <w:rFonts w:ascii="Arial" w:hAnsi="Arial" w:cs="Arial"/>
          <w:bCs/>
          <w:sz w:val="22"/>
          <w:szCs w:val="22"/>
        </w:rPr>
        <w:t>.</w:t>
      </w:r>
    </w:p>
    <w:p w14:paraId="1A9E76EC" w14:textId="77777777" w:rsidR="00FE2072" w:rsidRPr="00B9503F" w:rsidRDefault="00FE2072" w:rsidP="008F44CA">
      <w:pPr>
        <w:spacing w:before="120" w:after="120" w:line="276" w:lineRule="auto"/>
        <w:ind w:left="426" w:hanging="426"/>
        <w:jc w:val="both"/>
        <w:rPr>
          <w:rFonts w:ascii="Arial" w:hAnsi="Arial" w:cs="Arial"/>
          <w:bCs/>
          <w:sz w:val="22"/>
          <w:szCs w:val="22"/>
        </w:rPr>
      </w:pPr>
      <w:r w:rsidRPr="00B9503F">
        <w:rPr>
          <w:rFonts w:ascii="Arial" w:hAnsi="Arial" w:cs="Arial"/>
          <w:bCs/>
          <w:sz w:val="22"/>
          <w:szCs w:val="22"/>
        </w:rPr>
        <w:t>•</w:t>
      </w:r>
      <w:r w:rsidRPr="00B9503F">
        <w:rPr>
          <w:rFonts w:ascii="Arial" w:hAnsi="Arial" w:cs="Arial"/>
          <w:bCs/>
          <w:sz w:val="22"/>
          <w:szCs w:val="22"/>
        </w:rPr>
        <w:tab/>
        <w:t>Modernización integrada del funcionamiento de las Administraciones Públicas: Debe permitir mejorar la atención a la ciudadanía y contribuir activamente al éxito de las políticas públicas destinadas a las grandes transformaciones de España apoyándose, entre otras herramientas, en el teletrabajo y en la cooperación territorial.</w:t>
      </w:r>
    </w:p>
    <w:p w14:paraId="0E70FB93" w14:textId="70467330" w:rsidR="00FE2072" w:rsidRPr="00B9503F" w:rsidRDefault="00F76D9D" w:rsidP="008F44CA">
      <w:pPr>
        <w:spacing w:before="120" w:after="120" w:line="276" w:lineRule="auto"/>
        <w:jc w:val="both"/>
        <w:rPr>
          <w:rFonts w:ascii="Arial" w:hAnsi="Arial" w:cs="Arial"/>
          <w:b/>
          <w:sz w:val="22"/>
          <w:szCs w:val="22"/>
        </w:rPr>
      </w:pPr>
      <w:r w:rsidRPr="00B9503F">
        <w:rPr>
          <w:rFonts w:ascii="Arial" w:hAnsi="Arial" w:cs="Arial"/>
          <w:b/>
          <w:bCs/>
          <w:sz w:val="22"/>
          <w:szCs w:val="22"/>
        </w:rPr>
        <w:t>3.2</w:t>
      </w:r>
      <w:r w:rsidR="00FE2072" w:rsidRPr="00B9503F">
        <w:rPr>
          <w:rFonts w:ascii="Arial" w:hAnsi="Arial" w:cs="Arial"/>
          <w:b/>
          <w:bCs/>
          <w:sz w:val="22"/>
          <w:szCs w:val="22"/>
        </w:rPr>
        <w:t>.</w:t>
      </w:r>
      <w:r w:rsidR="00FE2072" w:rsidRPr="00B9503F">
        <w:rPr>
          <w:rFonts w:ascii="Arial" w:hAnsi="Arial" w:cs="Arial"/>
          <w:bCs/>
          <w:sz w:val="22"/>
          <w:szCs w:val="22"/>
        </w:rPr>
        <w:tab/>
      </w:r>
      <w:r w:rsidR="00FE2072" w:rsidRPr="00B9503F">
        <w:rPr>
          <w:rFonts w:ascii="Arial" w:hAnsi="Arial" w:cs="Arial"/>
          <w:b/>
          <w:sz w:val="22"/>
          <w:szCs w:val="22"/>
        </w:rPr>
        <w:t>Plan para la transición energética en la Administración General del Estado:</w:t>
      </w:r>
    </w:p>
    <w:p w14:paraId="22555AF5" w14:textId="77777777" w:rsidR="00FE2072" w:rsidRPr="00B9503F" w:rsidRDefault="00FE2072" w:rsidP="008F44CA">
      <w:pPr>
        <w:spacing w:before="120" w:after="120" w:line="276" w:lineRule="auto"/>
        <w:ind w:left="426" w:hanging="426"/>
        <w:jc w:val="both"/>
        <w:rPr>
          <w:rFonts w:ascii="Arial" w:hAnsi="Arial" w:cs="Arial"/>
          <w:bCs/>
          <w:sz w:val="22"/>
          <w:szCs w:val="22"/>
        </w:rPr>
      </w:pPr>
      <w:r w:rsidRPr="00B9503F">
        <w:rPr>
          <w:rFonts w:ascii="Arial" w:hAnsi="Arial" w:cs="Arial"/>
          <w:bCs/>
          <w:sz w:val="22"/>
          <w:szCs w:val="22"/>
        </w:rPr>
        <w:t>•</w:t>
      </w:r>
      <w:r w:rsidRPr="00B9503F">
        <w:rPr>
          <w:rFonts w:ascii="Arial" w:hAnsi="Arial" w:cs="Arial"/>
          <w:bCs/>
          <w:sz w:val="22"/>
          <w:szCs w:val="22"/>
        </w:rPr>
        <w:tab/>
      </w:r>
      <w:r w:rsidRPr="00B9503F">
        <w:rPr>
          <w:rFonts w:ascii="Arial" w:hAnsi="Arial" w:cs="Arial"/>
          <w:bCs/>
          <w:sz w:val="22"/>
          <w:szCs w:val="22"/>
          <w:u w:val="single"/>
        </w:rPr>
        <w:t>Ahorro y eficiencia energética</w:t>
      </w:r>
      <w:r w:rsidRPr="00B9503F">
        <w:rPr>
          <w:rFonts w:ascii="Arial" w:hAnsi="Arial" w:cs="Arial"/>
          <w:bCs/>
          <w:sz w:val="22"/>
          <w:szCs w:val="22"/>
        </w:rPr>
        <w:t>: Este componente debe aumentar el número de edificios con alta calificación energética y, en particular, los edificios de consumo de energía casi nulo. Así mismo, debe renovar las infraestructuras consumidoras de energía por otras de alta eficiencia energética, en particular, las de alumbrado exterior.</w:t>
      </w:r>
    </w:p>
    <w:p w14:paraId="3F8F2C24" w14:textId="77777777" w:rsidR="00FE2072" w:rsidRPr="00B9503F" w:rsidRDefault="00FE2072" w:rsidP="008F44CA">
      <w:pPr>
        <w:spacing w:before="120" w:after="120" w:line="276" w:lineRule="auto"/>
        <w:ind w:left="426" w:hanging="426"/>
        <w:jc w:val="both"/>
        <w:rPr>
          <w:rFonts w:ascii="Arial" w:hAnsi="Arial" w:cs="Arial"/>
          <w:bCs/>
          <w:sz w:val="22"/>
          <w:szCs w:val="22"/>
        </w:rPr>
      </w:pPr>
      <w:r w:rsidRPr="00B9503F">
        <w:rPr>
          <w:rFonts w:ascii="Arial" w:hAnsi="Arial" w:cs="Arial"/>
          <w:bCs/>
          <w:sz w:val="22"/>
          <w:szCs w:val="22"/>
        </w:rPr>
        <w:t>•</w:t>
      </w:r>
      <w:r w:rsidRPr="00B9503F">
        <w:rPr>
          <w:rFonts w:ascii="Arial" w:hAnsi="Arial" w:cs="Arial"/>
          <w:bCs/>
          <w:sz w:val="22"/>
          <w:szCs w:val="22"/>
        </w:rPr>
        <w:tab/>
      </w:r>
      <w:r w:rsidRPr="00B9503F">
        <w:rPr>
          <w:rFonts w:ascii="Arial" w:hAnsi="Arial" w:cs="Arial"/>
          <w:bCs/>
          <w:sz w:val="22"/>
          <w:szCs w:val="22"/>
          <w:u w:val="single"/>
        </w:rPr>
        <w:t>Energías renovables</w:t>
      </w:r>
      <w:r w:rsidRPr="00B9503F">
        <w:rPr>
          <w:rFonts w:ascii="Arial" w:hAnsi="Arial" w:cs="Arial"/>
          <w:bCs/>
          <w:sz w:val="22"/>
          <w:szCs w:val="22"/>
        </w:rPr>
        <w:t>: Debe incrementar la utilización de las energías renovables térmicas y eléctricas en sustitución de combustibles fósiles.</w:t>
      </w:r>
    </w:p>
    <w:p w14:paraId="729D3153" w14:textId="77777777" w:rsidR="00FE2072" w:rsidRPr="00B9503F" w:rsidRDefault="00FE2072" w:rsidP="008F44CA">
      <w:pPr>
        <w:spacing w:before="120" w:after="120" w:line="276" w:lineRule="auto"/>
        <w:ind w:left="426" w:hanging="426"/>
        <w:jc w:val="both"/>
        <w:rPr>
          <w:rFonts w:ascii="Arial" w:hAnsi="Arial" w:cs="Arial"/>
          <w:bCs/>
          <w:sz w:val="22"/>
          <w:szCs w:val="22"/>
        </w:rPr>
      </w:pPr>
      <w:r w:rsidRPr="00B9503F">
        <w:rPr>
          <w:rFonts w:ascii="Arial" w:hAnsi="Arial" w:cs="Arial"/>
          <w:bCs/>
          <w:sz w:val="22"/>
          <w:szCs w:val="22"/>
        </w:rPr>
        <w:t>•</w:t>
      </w:r>
      <w:r w:rsidRPr="00B9503F">
        <w:rPr>
          <w:rFonts w:ascii="Arial" w:hAnsi="Arial" w:cs="Arial"/>
          <w:bCs/>
          <w:sz w:val="22"/>
          <w:szCs w:val="22"/>
        </w:rPr>
        <w:tab/>
      </w:r>
      <w:r w:rsidRPr="00B9503F">
        <w:rPr>
          <w:rFonts w:ascii="Arial" w:hAnsi="Arial" w:cs="Arial"/>
          <w:bCs/>
          <w:sz w:val="22"/>
          <w:szCs w:val="22"/>
          <w:u w:val="single"/>
        </w:rPr>
        <w:t>Movilidad sostenible</w:t>
      </w:r>
      <w:r w:rsidRPr="00B9503F">
        <w:rPr>
          <w:rFonts w:ascii="Arial" w:hAnsi="Arial" w:cs="Arial"/>
          <w:bCs/>
          <w:sz w:val="22"/>
          <w:szCs w:val="22"/>
        </w:rPr>
        <w:t>: Debe promover la movilidad sostenible de los trabajadores públicos y renovar el parque público de vehículos, por otros de cero emisiones, en especial eléctricos.</w:t>
      </w:r>
    </w:p>
    <w:p w14:paraId="50E75C88" w14:textId="77777777" w:rsidR="00FE2072" w:rsidRPr="00B9503F" w:rsidRDefault="00FE2072" w:rsidP="008F44CA">
      <w:pPr>
        <w:spacing w:before="120" w:after="120" w:line="276" w:lineRule="auto"/>
        <w:jc w:val="both"/>
        <w:rPr>
          <w:rFonts w:ascii="Arial" w:hAnsi="Arial" w:cs="Arial"/>
          <w:bCs/>
          <w:sz w:val="22"/>
          <w:szCs w:val="22"/>
        </w:rPr>
      </w:pPr>
      <w:r w:rsidRPr="00B9503F">
        <w:rPr>
          <w:rFonts w:ascii="Arial" w:hAnsi="Arial" w:cs="Arial"/>
          <w:bCs/>
          <w:sz w:val="22"/>
          <w:szCs w:val="22"/>
        </w:rPr>
        <w:t>Además de la consecución de los objetivos energéticos, la implantación de estas medidas en la Administración General del Estado permitirá generar un efecto sensibilizador sobre el conjunto de la Administración y la ciudadanía, incrementando la coherencia entre el funcionamiento del sector público y las políticas en el ámbito de transición energética, reducir costes operativos para la Administración Pública, y generar efecto tractor sobre el mercado en ámbitos clave como la movilidad sostenible, la eficiencia energética y las energías renovables.</w:t>
      </w:r>
    </w:p>
    <w:p w14:paraId="229B2EF6" w14:textId="4CAA3F9D" w:rsidR="00FE2072" w:rsidRPr="00B9503F" w:rsidRDefault="00F76D9D" w:rsidP="008F44CA">
      <w:pPr>
        <w:spacing w:before="120" w:after="120" w:line="276" w:lineRule="auto"/>
        <w:jc w:val="both"/>
        <w:rPr>
          <w:rFonts w:ascii="Arial" w:hAnsi="Arial" w:cs="Arial"/>
          <w:b/>
          <w:sz w:val="22"/>
          <w:szCs w:val="22"/>
        </w:rPr>
      </w:pPr>
      <w:r w:rsidRPr="00B9503F">
        <w:rPr>
          <w:rFonts w:ascii="Arial" w:hAnsi="Arial" w:cs="Arial"/>
          <w:b/>
          <w:sz w:val="22"/>
          <w:szCs w:val="22"/>
        </w:rPr>
        <w:t>3.3</w:t>
      </w:r>
      <w:r w:rsidR="00FE2072" w:rsidRPr="00B9503F">
        <w:rPr>
          <w:rFonts w:ascii="Arial" w:hAnsi="Arial" w:cs="Arial"/>
          <w:b/>
          <w:sz w:val="22"/>
          <w:szCs w:val="22"/>
        </w:rPr>
        <w:t>.</w:t>
      </w:r>
      <w:r w:rsidR="00FE2072" w:rsidRPr="00B9503F">
        <w:rPr>
          <w:rFonts w:ascii="Arial" w:hAnsi="Arial" w:cs="Arial"/>
          <w:b/>
          <w:sz w:val="22"/>
          <w:szCs w:val="22"/>
        </w:rPr>
        <w:tab/>
        <w:t>Reforma de las Administraciones Públicas:</w:t>
      </w:r>
    </w:p>
    <w:p w14:paraId="69F9347F" w14:textId="77777777" w:rsidR="00FE2072" w:rsidRPr="00B9503F" w:rsidRDefault="00FE2072" w:rsidP="008F44CA">
      <w:pPr>
        <w:spacing w:before="120" w:after="120" w:line="276" w:lineRule="auto"/>
        <w:ind w:left="426" w:hanging="426"/>
        <w:jc w:val="both"/>
        <w:rPr>
          <w:rFonts w:ascii="Arial" w:hAnsi="Arial" w:cs="Arial"/>
          <w:bCs/>
          <w:sz w:val="22"/>
          <w:szCs w:val="22"/>
        </w:rPr>
      </w:pPr>
      <w:r w:rsidRPr="00B9503F">
        <w:rPr>
          <w:rFonts w:ascii="Arial" w:hAnsi="Arial" w:cs="Arial"/>
          <w:bCs/>
          <w:sz w:val="22"/>
          <w:szCs w:val="22"/>
        </w:rPr>
        <w:t>•</w:t>
      </w:r>
      <w:r w:rsidRPr="00B9503F">
        <w:rPr>
          <w:rFonts w:ascii="Arial" w:hAnsi="Arial" w:cs="Arial"/>
          <w:bCs/>
          <w:sz w:val="22"/>
          <w:szCs w:val="22"/>
        </w:rPr>
        <w:tab/>
      </w:r>
      <w:r w:rsidRPr="00B9503F">
        <w:rPr>
          <w:rFonts w:ascii="Arial" w:hAnsi="Arial" w:cs="Arial"/>
          <w:bCs/>
          <w:sz w:val="22"/>
          <w:szCs w:val="22"/>
          <w:u w:val="single"/>
        </w:rPr>
        <w:t>Gestión administrativa y financiera</w:t>
      </w:r>
      <w:r w:rsidRPr="00B9503F">
        <w:rPr>
          <w:rFonts w:ascii="Arial" w:hAnsi="Arial" w:cs="Arial"/>
          <w:bCs/>
          <w:sz w:val="22"/>
          <w:szCs w:val="22"/>
        </w:rPr>
        <w:t xml:space="preserve">. Se establecerá un nuevo modelo para la gestión administrativa y financiera, a fin de poder trasladar a las altas instancias nacionales y europeas el correcto desarrollo de las actuaciones establecidas en el mismo. Asimismo, </w:t>
      </w:r>
      <w:r w:rsidRPr="00B9503F">
        <w:rPr>
          <w:rFonts w:ascii="Arial" w:hAnsi="Arial" w:cs="Arial"/>
          <w:bCs/>
          <w:sz w:val="22"/>
          <w:szCs w:val="22"/>
        </w:rPr>
        <w:lastRenderedPageBreak/>
        <w:t>se establece un modelo homogéneo para el reporte a la Secretaría General de Administración Digital de los Ministerios tractores y sus unidades TIC correspondientes.</w:t>
      </w:r>
    </w:p>
    <w:p w14:paraId="185FD544" w14:textId="77777777" w:rsidR="00FE2072" w:rsidRPr="00B9503F" w:rsidRDefault="00FE2072" w:rsidP="008F44CA">
      <w:pPr>
        <w:spacing w:before="120" w:after="120" w:line="276" w:lineRule="auto"/>
        <w:ind w:left="426" w:hanging="426"/>
        <w:jc w:val="both"/>
        <w:rPr>
          <w:rFonts w:ascii="Arial" w:hAnsi="Arial" w:cs="Arial"/>
          <w:bCs/>
          <w:sz w:val="22"/>
          <w:szCs w:val="22"/>
        </w:rPr>
      </w:pPr>
      <w:r w:rsidRPr="00B9503F">
        <w:rPr>
          <w:rFonts w:ascii="Arial" w:hAnsi="Arial" w:cs="Arial"/>
          <w:bCs/>
          <w:sz w:val="22"/>
          <w:szCs w:val="22"/>
        </w:rPr>
        <w:t>•</w:t>
      </w:r>
      <w:r w:rsidRPr="00B9503F">
        <w:rPr>
          <w:rFonts w:ascii="Arial" w:hAnsi="Arial" w:cs="Arial"/>
          <w:bCs/>
          <w:sz w:val="22"/>
          <w:szCs w:val="22"/>
        </w:rPr>
        <w:tab/>
      </w:r>
      <w:r w:rsidRPr="00B9503F">
        <w:rPr>
          <w:rFonts w:ascii="Arial" w:hAnsi="Arial" w:cs="Arial"/>
          <w:bCs/>
          <w:sz w:val="22"/>
          <w:szCs w:val="22"/>
          <w:u w:val="single"/>
        </w:rPr>
        <w:t>Empleo público</w:t>
      </w:r>
      <w:r w:rsidRPr="00B9503F">
        <w:rPr>
          <w:rFonts w:ascii="Arial" w:hAnsi="Arial" w:cs="Arial"/>
          <w:bCs/>
          <w:sz w:val="22"/>
          <w:szCs w:val="22"/>
        </w:rPr>
        <w:t>. Este componente debe permitir consolidar un modelo de empleo público de calidad, mediante la adopción de medidas dirigidas a reducir la temporalidad, así como a establecer medidas eficaces para prevenir y sancionar el uso abusivo del empleo público temporal.</w:t>
      </w:r>
    </w:p>
    <w:p w14:paraId="25D2F1DC" w14:textId="77777777" w:rsidR="00FE2072" w:rsidRPr="00B9503F" w:rsidRDefault="00FE2072" w:rsidP="008F44CA">
      <w:pPr>
        <w:spacing w:before="120" w:after="120" w:line="276" w:lineRule="auto"/>
        <w:ind w:left="426"/>
        <w:jc w:val="both"/>
        <w:rPr>
          <w:rFonts w:ascii="Arial" w:hAnsi="Arial" w:cs="Arial"/>
          <w:bCs/>
          <w:sz w:val="22"/>
          <w:szCs w:val="22"/>
        </w:rPr>
      </w:pPr>
      <w:r w:rsidRPr="00B9503F">
        <w:rPr>
          <w:rFonts w:ascii="Arial" w:hAnsi="Arial" w:cs="Arial"/>
          <w:bCs/>
          <w:sz w:val="22"/>
          <w:szCs w:val="22"/>
        </w:rPr>
        <w:t>Se fomentará la incorporación de plataformas tecnológicas y de gestión inteligente en los procesos de selección y gestión de recursos humanos. Esta actuación permitirá a la Administración Pública adecuar las necesidades digitales de los empleados públicos.</w:t>
      </w:r>
    </w:p>
    <w:p w14:paraId="289552D9" w14:textId="77777777" w:rsidR="00FE2072" w:rsidRPr="00B9503F" w:rsidRDefault="00FE2072" w:rsidP="008F44CA">
      <w:pPr>
        <w:spacing w:before="120" w:after="120" w:line="276" w:lineRule="auto"/>
        <w:ind w:left="426"/>
        <w:jc w:val="both"/>
        <w:rPr>
          <w:rFonts w:ascii="Arial" w:hAnsi="Arial" w:cs="Arial"/>
          <w:bCs/>
          <w:sz w:val="22"/>
          <w:szCs w:val="22"/>
        </w:rPr>
      </w:pPr>
      <w:r w:rsidRPr="00B9503F">
        <w:rPr>
          <w:rFonts w:ascii="Arial" w:hAnsi="Arial" w:cs="Arial"/>
          <w:bCs/>
          <w:sz w:val="22"/>
          <w:szCs w:val="22"/>
        </w:rPr>
        <w:t>Resulta prioritario fortalecer la capacidad de la Administración mediante la implantación de un modelo de recursos humanos basado en competencias, que favorezca la atracción y retención del talento mediante la articulación de una carrera profesional que asegure la igualdad entre mujeres y hombres, junto a una dirección pública profesional que evite una excesiva rotación y asegure una gestión pública orientada a resultados. Igualmente, es preciso desarrollar políticas de reclutamiento y selección que aseguren el relevo intergeneracional.</w:t>
      </w:r>
    </w:p>
    <w:p w14:paraId="03982514" w14:textId="77777777" w:rsidR="00FE2072" w:rsidRPr="00B9503F" w:rsidRDefault="00FE2072" w:rsidP="008F44CA">
      <w:pPr>
        <w:spacing w:before="120" w:after="120" w:line="276" w:lineRule="auto"/>
        <w:ind w:left="426" w:hanging="426"/>
        <w:jc w:val="both"/>
        <w:rPr>
          <w:rFonts w:ascii="Arial" w:hAnsi="Arial" w:cs="Arial"/>
          <w:bCs/>
          <w:sz w:val="22"/>
          <w:szCs w:val="22"/>
        </w:rPr>
      </w:pPr>
      <w:r w:rsidRPr="00B9503F">
        <w:rPr>
          <w:rFonts w:ascii="Arial" w:hAnsi="Arial" w:cs="Arial"/>
          <w:bCs/>
          <w:sz w:val="22"/>
          <w:szCs w:val="22"/>
        </w:rPr>
        <w:t>•</w:t>
      </w:r>
      <w:r w:rsidRPr="00B9503F">
        <w:rPr>
          <w:rFonts w:ascii="Arial" w:hAnsi="Arial" w:cs="Arial"/>
          <w:bCs/>
          <w:sz w:val="22"/>
          <w:szCs w:val="22"/>
        </w:rPr>
        <w:tab/>
      </w:r>
      <w:r w:rsidRPr="00B9503F">
        <w:rPr>
          <w:rFonts w:ascii="Arial" w:hAnsi="Arial" w:cs="Arial"/>
          <w:bCs/>
          <w:sz w:val="22"/>
          <w:szCs w:val="22"/>
          <w:u w:val="single"/>
        </w:rPr>
        <w:t>Marco de relaciones interadministrativas</w:t>
      </w:r>
      <w:r w:rsidRPr="00B9503F">
        <w:rPr>
          <w:rFonts w:ascii="Arial" w:hAnsi="Arial" w:cs="Arial"/>
          <w:bCs/>
          <w:sz w:val="22"/>
          <w:szCs w:val="22"/>
        </w:rPr>
        <w:t>. Se fomentará un modelo de cooperación entre los departamentos ministeriales de acuerdo a un Modelo de Gobernanza del Plan en base a dos niveles de relación, de forma tanto estratégica como ejecutiva. Igualmente se impulsará una renovación de los instrumentos de cooperación y coordinación interterritorial que mejoren la eficiencia del sistema.</w:t>
      </w:r>
    </w:p>
    <w:p w14:paraId="7ED3265C" w14:textId="77777777" w:rsidR="00FE2072" w:rsidRPr="00B9503F" w:rsidRDefault="00FE2072" w:rsidP="008F44CA">
      <w:pPr>
        <w:spacing w:before="120" w:after="120" w:line="276" w:lineRule="auto"/>
        <w:ind w:left="426" w:hanging="426"/>
        <w:jc w:val="both"/>
        <w:rPr>
          <w:rFonts w:ascii="Arial" w:hAnsi="Arial" w:cs="Arial"/>
          <w:bCs/>
          <w:sz w:val="22"/>
          <w:szCs w:val="22"/>
        </w:rPr>
      </w:pPr>
      <w:r w:rsidRPr="00B9503F">
        <w:rPr>
          <w:rFonts w:ascii="Arial" w:hAnsi="Arial" w:cs="Arial"/>
          <w:bCs/>
          <w:sz w:val="22"/>
          <w:szCs w:val="22"/>
        </w:rPr>
        <w:t>•</w:t>
      </w:r>
      <w:r w:rsidRPr="00B9503F">
        <w:rPr>
          <w:rFonts w:ascii="Arial" w:hAnsi="Arial" w:cs="Arial"/>
          <w:bCs/>
          <w:sz w:val="22"/>
          <w:szCs w:val="22"/>
        </w:rPr>
        <w:tab/>
      </w:r>
      <w:r w:rsidRPr="00B9503F">
        <w:rPr>
          <w:rFonts w:ascii="Arial" w:hAnsi="Arial" w:cs="Arial"/>
          <w:bCs/>
          <w:sz w:val="22"/>
          <w:szCs w:val="22"/>
          <w:u w:val="single"/>
        </w:rPr>
        <w:t>Refuerzo del marco de contratación pública</w:t>
      </w:r>
      <w:r w:rsidRPr="00B9503F">
        <w:rPr>
          <w:rFonts w:ascii="Arial" w:hAnsi="Arial" w:cs="Arial"/>
          <w:bCs/>
          <w:sz w:val="22"/>
          <w:szCs w:val="22"/>
        </w:rPr>
        <w:t>. Se pretende poner en marcha la Estrategia Nacional de Contratación Pública, que, entre otros objetivos, promoverá la eficiencia en la contratación pública, tanto en relación con el proceso de contratación como en relación a los resultados obtenidos con la misma.</w:t>
      </w:r>
    </w:p>
    <w:p w14:paraId="05739D2C" w14:textId="77777777" w:rsidR="00FE2072" w:rsidRPr="00B9503F" w:rsidRDefault="00FE2072" w:rsidP="008F44CA">
      <w:pPr>
        <w:spacing w:before="120" w:after="120" w:line="276" w:lineRule="auto"/>
        <w:ind w:left="426" w:hanging="426"/>
        <w:jc w:val="both"/>
        <w:rPr>
          <w:rFonts w:ascii="Arial" w:hAnsi="Arial" w:cs="Arial"/>
          <w:bCs/>
          <w:sz w:val="22"/>
          <w:szCs w:val="22"/>
        </w:rPr>
      </w:pPr>
      <w:r w:rsidRPr="00B9503F">
        <w:rPr>
          <w:rFonts w:ascii="Arial" w:hAnsi="Arial" w:cs="Arial"/>
          <w:bCs/>
          <w:sz w:val="22"/>
          <w:szCs w:val="22"/>
        </w:rPr>
        <w:t>•</w:t>
      </w:r>
      <w:r w:rsidRPr="00B9503F">
        <w:rPr>
          <w:rFonts w:ascii="Arial" w:hAnsi="Arial" w:cs="Arial"/>
          <w:bCs/>
          <w:sz w:val="22"/>
          <w:szCs w:val="22"/>
        </w:rPr>
        <w:tab/>
      </w:r>
      <w:r w:rsidRPr="00B9503F">
        <w:rPr>
          <w:rFonts w:ascii="Arial" w:hAnsi="Arial" w:cs="Arial"/>
          <w:bCs/>
          <w:sz w:val="22"/>
          <w:szCs w:val="22"/>
          <w:u w:val="single"/>
        </w:rPr>
        <w:t>Evaluación de políticas públicas</w:t>
      </w:r>
      <w:r w:rsidRPr="00B9503F">
        <w:rPr>
          <w:rFonts w:ascii="Arial" w:hAnsi="Arial" w:cs="Arial"/>
          <w:bCs/>
          <w:sz w:val="22"/>
          <w:szCs w:val="22"/>
        </w:rPr>
        <w:t xml:space="preserve">. Con el fin de mejorar el marco normativo e institucional de la evaluación, y reforzar el proceso de evaluación ex ante, se aprobará una norma reguladora y se creará un nuevo organismo público de Evaluación de Políticas Públicas, complementando el refuerzo de la evaluación ex post previsto en el componente 29. </w:t>
      </w:r>
    </w:p>
    <w:p w14:paraId="3F615D4D" w14:textId="77777777" w:rsidR="00FE2072" w:rsidRPr="00B9503F" w:rsidRDefault="00FE2072" w:rsidP="008F44CA">
      <w:pPr>
        <w:spacing w:before="120" w:after="120" w:line="276" w:lineRule="auto"/>
        <w:ind w:left="426" w:hanging="426"/>
        <w:jc w:val="both"/>
        <w:rPr>
          <w:rFonts w:ascii="Arial" w:hAnsi="Arial" w:cs="Arial"/>
          <w:bCs/>
          <w:sz w:val="22"/>
          <w:szCs w:val="22"/>
        </w:rPr>
      </w:pPr>
      <w:r w:rsidRPr="00B9503F">
        <w:rPr>
          <w:rFonts w:ascii="Arial" w:hAnsi="Arial" w:cs="Arial"/>
          <w:bCs/>
          <w:sz w:val="22"/>
          <w:szCs w:val="22"/>
        </w:rPr>
        <w:t>•</w:t>
      </w:r>
      <w:r w:rsidRPr="00B9503F">
        <w:rPr>
          <w:rFonts w:ascii="Arial" w:hAnsi="Arial" w:cs="Arial"/>
          <w:bCs/>
          <w:sz w:val="22"/>
          <w:szCs w:val="22"/>
        </w:rPr>
        <w:tab/>
      </w:r>
      <w:r w:rsidRPr="00B9503F">
        <w:rPr>
          <w:rFonts w:ascii="Arial" w:hAnsi="Arial" w:cs="Arial"/>
          <w:bCs/>
          <w:sz w:val="22"/>
          <w:szCs w:val="22"/>
          <w:u w:val="single"/>
        </w:rPr>
        <w:t>Gobernanza económica</w:t>
      </w:r>
      <w:r w:rsidRPr="00B9503F">
        <w:rPr>
          <w:rFonts w:ascii="Arial" w:hAnsi="Arial" w:cs="Arial"/>
          <w:bCs/>
          <w:sz w:val="22"/>
          <w:szCs w:val="22"/>
        </w:rPr>
        <w:t>. Coordinación de las políticas económicas a fin de fomentar el progreso económico y social para el Estado y para sus ciudadanos.</w:t>
      </w:r>
    </w:p>
    <w:p w14:paraId="15453548" w14:textId="77777777" w:rsidR="00FE2072" w:rsidRPr="00B9503F" w:rsidRDefault="00FE2072" w:rsidP="008F44CA">
      <w:pPr>
        <w:spacing w:before="120" w:after="120" w:line="276" w:lineRule="auto"/>
        <w:ind w:left="426" w:hanging="426"/>
        <w:jc w:val="both"/>
        <w:rPr>
          <w:rFonts w:ascii="Arial" w:hAnsi="Arial" w:cs="Arial"/>
          <w:bCs/>
          <w:sz w:val="22"/>
          <w:szCs w:val="22"/>
        </w:rPr>
      </w:pPr>
      <w:r w:rsidRPr="00B9503F">
        <w:rPr>
          <w:rFonts w:ascii="Arial" w:hAnsi="Arial" w:cs="Arial"/>
          <w:bCs/>
          <w:sz w:val="22"/>
          <w:szCs w:val="22"/>
        </w:rPr>
        <w:t>•</w:t>
      </w:r>
      <w:r w:rsidRPr="00B9503F">
        <w:rPr>
          <w:rFonts w:ascii="Arial" w:hAnsi="Arial" w:cs="Arial"/>
          <w:bCs/>
          <w:sz w:val="22"/>
          <w:szCs w:val="22"/>
        </w:rPr>
        <w:tab/>
      </w:r>
      <w:r w:rsidRPr="00B9503F">
        <w:rPr>
          <w:rFonts w:ascii="Arial" w:hAnsi="Arial" w:cs="Arial"/>
          <w:bCs/>
          <w:sz w:val="22"/>
          <w:szCs w:val="22"/>
          <w:u w:val="single"/>
        </w:rPr>
        <w:t>Mejora de la transparencia a través de medidas de gobierno abierto</w:t>
      </w:r>
      <w:r w:rsidRPr="00B9503F">
        <w:rPr>
          <w:rFonts w:ascii="Arial" w:hAnsi="Arial" w:cs="Arial"/>
          <w:bCs/>
          <w:sz w:val="22"/>
          <w:szCs w:val="22"/>
        </w:rPr>
        <w:t>.</w:t>
      </w:r>
    </w:p>
    <w:p w14:paraId="1B19CAA0" w14:textId="77777777" w:rsidR="00FE2072" w:rsidRPr="00B9503F" w:rsidRDefault="00FE2072" w:rsidP="008F44CA">
      <w:pPr>
        <w:spacing w:before="120" w:after="120" w:line="276" w:lineRule="auto"/>
        <w:ind w:left="426" w:hanging="426"/>
        <w:jc w:val="both"/>
        <w:rPr>
          <w:rFonts w:ascii="Arial" w:hAnsi="Arial" w:cs="Arial"/>
          <w:bCs/>
          <w:sz w:val="22"/>
          <w:szCs w:val="22"/>
        </w:rPr>
      </w:pPr>
      <w:r w:rsidRPr="00B9503F">
        <w:rPr>
          <w:rFonts w:ascii="Arial" w:hAnsi="Arial" w:cs="Arial"/>
          <w:bCs/>
          <w:sz w:val="22"/>
          <w:szCs w:val="22"/>
        </w:rPr>
        <w:t>•</w:t>
      </w:r>
      <w:r w:rsidRPr="00B9503F">
        <w:rPr>
          <w:rFonts w:ascii="Arial" w:hAnsi="Arial" w:cs="Arial"/>
          <w:bCs/>
          <w:sz w:val="22"/>
          <w:szCs w:val="22"/>
        </w:rPr>
        <w:tab/>
        <w:t xml:space="preserve">Reforma de las capacidades administrativas para la implementación del Plan de Recuperación. </w:t>
      </w:r>
      <w:r w:rsidRPr="00B9503F">
        <w:rPr>
          <w:rFonts w:ascii="Arial" w:hAnsi="Arial" w:cs="Arial"/>
          <w:bCs/>
          <w:sz w:val="22"/>
          <w:szCs w:val="22"/>
          <w:u w:val="single"/>
        </w:rPr>
        <w:t>Adopción de los instrumentos administrativos necesarios para la puesta en marcha del Plan, así como su ejecución, seguimiento, control y auditoría</w:t>
      </w:r>
      <w:r w:rsidRPr="00B9503F">
        <w:rPr>
          <w:rFonts w:ascii="Arial" w:hAnsi="Arial" w:cs="Arial"/>
          <w:bCs/>
          <w:sz w:val="22"/>
          <w:szCs w:val="22"/>
        </w:rPr>
        <w:t>.</w:t>
      </w:r>
    </w:p>
    <w:p w14:paraId="0AD4D733" w14:textId="308F75A4" w:rsidR="00FE2072" w:rsidRPr="00B9503F" w:rsidRDefault="00FE2072" w:rsidP="008F44CA">
      <w:pPr>
        <w:spacing w:before="120" w:after="120" w:line="276" w:lineRule="auto"/>
        <w:jc w:val="both"/>
        <w:rPr>
          <w:rFonts w:ascii="Arial" w:hAnsi="Arial" w:cs="Arial"/>
          <w:b/>
          <w:sz w:val="22"/>
          <w:szCs w:val="22"/>
        </w:rPr>
      </w:pPr>
    </w:p>
    <w:p w14:paraId="38E08F98" w14:textId="77777777" w:rsidR="00D415D2" w:rsidRPr="00B9503F" w:rsidRDefault="00D415D2" w:rsidP="008F44CA">
      <w:pPr>
        <w:spacing w:before="120" w:after="120" w:line="276" w:lineRule="auto"/>
        <w:jc w:val="both"/>
        <w:rPr>
          <w:rFonts w:ascii="Arial" w:hAnsi="Arial" w:cs="Arial"/>
          <w:b/>
          <w:sz w:val="22"/>
          <w:szCs w:val="22"/>
        </w:rPr>
      </w:pPr>
      <w:r w:rsidRPr="00B9503F">
        <w:rPr>
          <w:rFonts w:ascii="Arial" w:hAnsi="Arial" w:cs="Arial"/>
          <w:b/>
          <w:sz w:val="22"/>
          <w:szCs w:val="22"/>
        </w:rPr>
        <w:t>4. Descripción de la inversión:</w:t>
      </w:r>
    </w:p>
    <w:p w14:paraId="65596325" w14:textId="4559EDB9" w:rsidR="00D415D2" w:rsidRPr="008F44CA" w:rsidRDefault="00D415D2" w:rsidP="008F44CA">
      <w:pPr>
        <w:spacing w:before="120" w:after="120" w:line="276" w:lineRule="auto"/>
        <w:jc w:val="both"/>
        <w:rPr>
          <w:rFonts w:ascii="Arial" w:hAnsi="Arial" w:cs="Arial"/>
          <w:bCs/>
          <w:sz w:val="22"/>
          <w:szCs w:val="22"/>
          <w:lang w:val="es-ES"/>
        </w:rPr>
      </w:pPr>
      <w:r w:rsidRPr="00B9503F">
        <w:rPr>
          <w:rFonts w:ascii="Arial" w:hAnsi="Arial" w:cs="Arial"/>
          <w:bCs/>
          <w:sz w:val="22"/>
          <w:szCs w:val="22"/>
        </w:rPr>
        <w:t>Con esta actuación se pretende dotar a la Agencia Española de Seguridad Alimentaria</w:t>
      </w:r>
      <w:r w:rsidR="00F76D9D" w:rsidRPr="00B9503F">
        <w:rPr>
          <w:rFonts w:ascii="Arial" w:hAnsi="Arial" w:cs="Arial"/>
          <w:bCs/>
          <w:sz w:val="22"/>
          <w:szCs w:val="22"/>
        </w:rPr>
        <w:t xml:space="preserve"> y Nutrición (AESAN)</w:t>
      </w:r>
      <w:r w:rsidRPr="00B9503F">
        <w:rPr>
          <w:rFonts w:ascii="Arial" w:hAnsi="Arial" w:cs="Arial"/>
          <w:bCs/>
          <w:sz w:val="22"/>
          <w:szCs w:val="22"/>
        </w:rPr>
        <w:t xml:space="preserve"> de las aplicaciones informáticas necesarias para el adecuado desarrollo de las competencias asignadas en materia de Se</w:t>
      </w:r>
      <w:r w:rsidR="00656CAA" w:rsidRPr="00B9503F">
        <w:rPr>
          <w:rFonts w:ascii="Arial" w:hAnsi="Arial" w:cs="Arial"/>
          <w:bCs/>
          <w:sz w:val="22"/>
          <w:szCs w:val="22"/>
        </w:rPr>
        <w:t xml:space="preserve">guridad Alimentaria y </w:t>
      </w:r>
      <w:r w:rsidR="00656CAA" w:rsidRPr="008F44CA">
        <w:rPr>
          <w:rFonts w:ascii="Arial" w:hAnsi="Arial" w:cs="Arial"/>
          <w:bCs/>
          <w:sz w:val="22"/>
          <w:szCs w:val="22"/>
        </w:rPr>
        <w:t>Nutrición y ello</w:t>
      </w:r>
      <w:r w:rsidR="008F44CA" w:rsidRPr="008F44CA">
        <w:rPr>
          <w:rFonts w:ascii="Arial" w:hAnsi="Arial" w:cs="Arial"/>
          <w:bCs/>
          <w:sz w:val="22"/>
          <w:szCs w:val="22"/>
        </w:rPr>
        <w:t>,</w:t>
      </w:r>
      <w:r w:rsidR="00656CAA" w:rsidRPr="008F44CA">
        <w:rPr>
          <w:rFonts w:ascii="Arial" w:hAnsi="Arial" w:cs="Arial"/>
          <w:bCs/>
          <w:sz w:val="22"/>
          <w:szCs w:val="22"/>
        </w:rPr>
        <w:t xml:space="preserve"> </w:t>
      </w:r>
      <w:r w:rsidR="00656CAA" w:rsidRPr="008F44CA">
        <w:rPr>
          <w:rFonts w:ascii="Arial" w:hAnsi="Arial" w:cs="Arial"/>
          <w:bCs/>
          <w:sz w:val="22"/>
          <w:szCs w:val="22"/>
        </w:rPr>
        <w:lastRenderedPageBreak/>
        <w:t xml:space="preserve">cumpliendo con el hilo conductor del componente en el que se integra esta inversión, como es la </w:t>
      </w:r>
      <w:r w:rsidR="00656CAA" w:rsidRPr="008F44CA">
        <w:rPr>
          <w:rFonts w:ascii="Arial" w:hAnsi="Arial" w:cs="Arial"/>
          <w:bCs/>
          <w:sz w:val="22"/>
          <w:szCs w:val="22"/>
          <w:lang w:val="es-ES"/>
        </w:rPr>
        <w:t>Modernización de las Administraciones públicas.</w:t>
      </w:r>
    </w:p>
    <w:p w14:paraId="08A20DB3" w14:textId="32BAB74D" w:rsidR="00656CAA" w:rsidRPr="008F44CA" w:rsidRDefault="00656CAA" w:rsidP="008F44CA">
      <w:pPr>
        <w:spacing w:before="120" w:after="120" w:line="276" w:lineRule="auto"/>
        <w:jc w:val="both"/>
        <w:rPr>
          <w:rFonts w:ascii="Arial" w:hAnsi="Arial" w:cs="Arial"/>
          <w:sz w:val="22"/>
          <w:szCs w:val="22"/>
          <w:lang w:val="es-ES"/>
        </w:rPr>
      </w:pPr>
      <w:r w:rsidRPr="008F44CA">
        <w:rPr>
          <w:rFonts w:ascii="Arial" w:hAnsi="Arial" w:cs="Arial"/>
          <w:bCs/>
          <w:sz w:val="22"/>
          <w:szCs w:val="22"/>
          <w:lang w:val="es-ES"/>
        </w:rPr>
        <w:t>La AESAN</w:t>
      </w:r>
      <w:r w:rsidR="002E7003" w:rsidRPr="008F44CA">
        <w:rPr>
          <w:rFonts w:ascii="Arial" w:hAnsi="Arial" w:cs="Arial"/>
          <w:bCs/>
          <w:sz w:val="22"/>
          <w:szCs w:val="22"/>
          <w:lang w:val="es-ES"/>
        </w:rPr>
        <w:t xml:space="preserve"> pretende el desarrollo y puesta en marcha de dos líneas de inversión, como son por un lado </w:t>
      </w:r>
      <w:r w:rsidRPr="008F44CA">
        <w:rPr>
          <w:rFonts w:ascii="Arial" w:hAnsi="Arial" w:cs="Arial"/>
          <w:sz w:val="22"/>
          <w:szCs w:val="22"/>
          <w:lang w:val="es-ES"/>
        </w:rPr>
        <w:t>de la sede electrónica y página Web</w:t>
      </w:r>
      <w:r w:rsidR="002E7003" w:rsidRPr="008F44CA">
        <w:rPr>
          <w:rFonts w:ascii="Arial" w:hAnsi="Arial" w:cs="Arial"/>
          <w:sz w:val="22"/>
          <w:szCs w:val="22"/>
          <w:lang w:val="es-ES"/>
        </w:rPr>
        <w:t>, y por otro</w:t>
      </w:r>
      <w:r w:rsidR="00C458A4" w:rsidRPr="008F44CA">
        <w:rPr>
          <w:rFonts w:ascii="Arial" w:hAnsi="Arial" w:cs="Arial"/>
          <w:sz w:val="22"/>
          <w:szCs w:val="22"/>
          <w:lang w:val="es-ES"/>
        </w:rPr>
        <w:t>,</w:t>
      </w:r>
      <w:r w:rsidR="002E7003" w:rsidRPr="008F44CA">
        <w:rPr>
          <w:rFonts w:ascii="Arial" w:hAnsi="Arial" w:cs="Arial"/>
          <w:sz w:val="22"/>
          <w:szCs w:val="22"/>
          <w:lang w:val="es-ES"/>
        </w:rPr>
        <w:t xml:space="preserve"> la dotación de sistemas de </w:t>
      </w:r>
      <w:r w:rsidRPr="008F44CA">
        <w:rPr>
          <w:rFonts w:ascii="Arial" w:hAnsi="Arial" w:cs="Arial"/>
          <w:sz w:val="22"/>
          <w:szCs w:val="22"/>
          <w:lang w:val="es-ES"/>
        </w:rPr>
        <w:t xml:space="preserve">sectoriales para la gestación, vigilancia y control del mercado y </w:t>
      </w:r>
      <w:r w:rsidR="002E7003" w:rsidRPr="008F44CA">
        <w:rPr>
          <w:rFonts w:ascii="Arial" w:hAnsi="Arial" w:cs="Arial"/>
          <w:sz w:val="22"/>
          <w:szCs w:val="22"/>
          <w:lang w:val="es-ES"/>
        </w:rPr>
        <w:t>laboratorio.</w:t>
      </w:r>
      <w:r w:rsidR="00F0562F" w:rsidRPr="008F44CA">
        <w:rPr>
          <w:rFonts w:ascii="Arial" w:hAnsi="Arial" w:cs="Arial"/>
          <w:sz w:val="22"/>
          <w:szCs w:val="22"/>
          <w:lang w:val="es-ES"/>
        </w:rPr>
        <w:t xml:space="preserve"> </w:t>
      </w:r>
    </w:p>
    <w:p w14:paraId="462D5994" w14:textId="40C2B926" w:rsidR="00F0562F" w:rsidRPr="00FB3ABD" w:rsidRDefault="00C458A4" w:rsidP="008F44CA">
      <w:pPr>
        <w:spacing w:after="160" w:line="276" w:lineRule="auto"/>
        <w:jc w:val="both"/>
        <w:rPr>
          <w:rFonts w:ascii="Arial" w:eastAsia="Calibri" w:hAnsi="Arial" w:cs="Arial"/>
          <w:sz w:val="22"/>
          <w:szCs w:val="22"/>
          <w:u w:val="single"/>
          <w:lang w:val="es-ES" w:eastAsia="en-US"/>
        </w:rPr>
      </w:pPr>
      <w:r w:rsidRPr="00FB3ABD">
        <w:rPr>
          <w:rFonts w:ascii="Arial" w:eastAsia="Calibri" w:hAnsi="Arial" w:cs="Arial"/>
          <w:sz w:val="22"/>
          <w:szCs w:val="22"/>
          <w:u w:val="single"/>
          <w:lang w:val="es-ES" w:eastAsia="en-US"/>
        </w:rPr>
        <w:t xml:space="preserve">En cuanto al desarrollo de la página Web: </w:t>
      </w:r>
    </w:p>
    <w:p w14:paraId="54D269DE" w14:textId="4A7B5FDC" w:rsidR="00F0562F" w:rsidRPr="008F44CA" w:rsidRDefault="00F0562F" w:rsidP="008F44CA">
      <w:pPr>
        <w:spacing w:after="160" w:line="276" w:lineRule="auto"/>
        <w:jc w:val="both"/>
        <w:rPr>
          <w:rFonts w:ascii="Arial" w:eastAsia="Calibri" w:hAnsi="Arial" w:cs="Arial"/>
          <w:sz w:val="22"/>
          <w:szCs w:val="22"/>
          <w:lang w:val="es-ES" w:eastAsia="en-US"/>
        </w:rPr>
      </w:pPr>
      <w:r w:rsidRPr="008F44CA">
        <w:rPr>
          <w:rFonts w:ascii="Arial" w:eastAsia="Calibri" w:hAnsi="Arial" w:cs="Arial"/>
          <w:sz w:val="22"/>
          <w:szCs w:val="22"/>
          <w:lang w:val="es-ES" w:eastAsia="en-US"/>
        </w:rPr>
        <w:t xml:space="preserve">La trasformación digital de la actuación administrativa, y de la forma que tiene esta de relacionarse con los ciudadanos, no solo mejora los servicios públicos prestados a estos últimos, sino que mejora los procesos democráticos y refuerza las políticas públicas. En aras de este principio trasformador y del cumplimiento de la normativa española vigente de procedimiento administrativo, este departamento requiere los medios técnicos necesarios que permitan la tramitación digital de los procedimientos, el registro electrónico de las solicitudes, la integración de los registros, así como el archivado y la confección de los expedientes electrónicos. </w:t>
      </w:r>
      <w:r w:rsidR="00AD423E" w:rsidRPr="008F44CA">
        <w:rPr>
          <w:rFonts w:ascii="Arial" w:eastAsia="Calibri" w:hAnsi="Arial" w:cs="Arial"/>
          <w:sz w:val="22"/>
          <w:szCs w:val="22"/>
          <w:lang w:val="es-ES" w:eastAsia="en-US"/>
        </w:rPr>
        <w:t>Y ello dentro de un ámbito tan sensible como es el de la protección y defensa de los intereses de los consumidores a través del mantenimiento de un elevado nivel de seguridad Alimentaria. La AESAN debe reforzar e incrementar sus interacciones con los ciudadanos a través d</w:t>
      </w:r>
      <w:bookmarkStart w:id="0" w:name="_GoBack"/>
      <w:bookmarkEnd w:id="0"/>
      <w:r w:rsidR="00AD423E" w:rsidRPr="008F44CA">
        <w:rPr>
          <w:rFonts w:ascii="Arial" w:eastAsia="Calibri" w:hAnsi="Arial" w:cs="Arial"/>
          <w:sz w:val="22"/>
          <w:szCs w:val="22"/>
          <w:lang w:val="es-ES" w:eastAsia="en-US"/>
        </w:rPr>
        <w:t>e la página Web.</w:t>
      </w:r>
    </w:p>
    <w:p w14:paraId="27344117" w14:textId="77777777" w:rsidR="00F0562F" w:rsidRPr="008F44CA" w:rsidRDefault="00F0562F" w:rsidP="008F44CA">
      <w:pPr>
        <w:spacing w:after="160" w:line="276" w:lineRule="auto"/>
        <w:jc w:val="both"/>
        <w:rPr>
          <w:rFonts w:ascii="Arial" w:eastAsia="Calibri" w:hAnsi="Arial" w:cs="Arial"/>
          <w:sz w:val="22"/>
          <w:szCs w:val="22"/>
          <w:lang w:val="es-ES" w:eastAsia="en-US"/>
        </w:rPr>
      </w:pPr>
      <w:r w:rsidRPr="008F44CA">
        <w:rPr>
          <w:rFonts w:ascii="Arial" w:eastAsia="Calibri" w:hAnsi="Arial" w:cs="Arial"/>
          <w:sz w:val="22"/>
          <w:szCs w:val="22"/>
          <w:lang w:val="es-ES" w:eastAsia="en-US"/>
        </w:rPr>
        <w:t>Con el fin de racionalizar el gasto público, se considera conveniente el uso de los medios y los sistemas desarrollados por la SGAD para tal fin, para lo que se requiere el acuerdo de uso de las mismas, el pago de las anualidades de uso del servicio y el proyecto de implantación e integración de las herramientas facilitadas en el ámbito de las unidades del ministerio que las requieran.</w:t>
      </w:r>
    </w:p>
    <w:p w14:paraId="1AB1E839" w14:textId="77777777" w:rsidR="00F0562F" w:rsidRPr="008F44CA" w:rsidRDefault="00F0562F" w:rsidP="008F44CA">
      <w:pPr>
        <w:spacing w:after="160" w:line="276" w:lineRule="auto"/>
        <w:jc w:val="both"/>
        <w:rPr>
          <w:rFonts w:ascii="Arial" w:eastAsia="Calibri" w:hAnsi="Arial" w:cs="Arial"/>
          <w:sz w:val="22"/>
          <w:szCs w:val="22"/>
          <w:lang w:val="es-ES" w:eastAsia="en-US"/>
        </w:rPr>
      </w:pPr>
      <w:r w:rsidRPr="008F44CA">
        <w:rPr>
          <w:rFonts w:ascii="Arial" w:eastAsia="Calibri" w:hAnsi="Arial" w:cs="Arial"/>
          <w:sz w:val="22"/>
          <w:szCs w:val="22"/>
          <w:lang w:val="es-ES" w:eastAsia="en-US"/>
        </w:rPr>
        <w:t xml:space="preserve">El alcance de la inversión, por tanto, es el Desarrollo de nuevas funcionalidades, mantenimiento adaptativo, correctivo y evolutivo de las aplicaciones que permiten la tramitación electrónica de las personas físicas y jurídicas en sus relaciones con las distintas unidades del organismo. </w:t>
      </w:r>
    </w:p>
    <w:p w14:paraId="36269685" w14:textId="2D862A70" w:rsidR="00F0562F" w:rsidRPr="008F44CA" w:rsidRDefault="00F0562F" w:rsidP="008F44CA">
      <w:pPr>
        <w:spacing w:after="160" w:line="276" w:lineRule="auto"/>
        <w:jc w:val="both"/>
        <w:rPr>
          <w:rFonts w:ascii="Arial" w:eastAsia="Calibri" w:hAnsi="Arial" w:cs="Arial"/>
          <w:sz w:val="22"/>
          <w:szCs w:val="22"/>
          <w:lang w:val="es-ES" w:eastAsia="en-US"/>
        </w:rPr>
      </w:pPr>
      <w:r w:rsidRPr="008F44CA">
        <w:rPr>
          <w:rFonts w:ascii="Arial" w:eastAsia="Calibri" w:hAnsi="Arial" w:cs="Arial"/>
          <w:sz w:val="22"/>
          <w:szCs w:val="22"/>
          <w:lang w:val="es-ES" w:eastAsia="en-US"/>
        </w:rPr>
        <w:t>Con la presente inversión en forma de contratación, se pretende cubrir las necesidades de servicios de desarrollo informático de AESAN para un periodo de dos años con el fin de abordar el mantenimiento de la principal vía de relación electrónica con el ciudadano, la página web.</w:t>
      </w:r>
    </w:p>
    <w:p w14:paraId="0F16CE0D" w14:textId="78EB8782" w:rsidR="00AD423E" w:rsidRPr="008F44CA" w:rsidRDefault="00AD423E" w:rsidP="008F44CA">
      <w:pPr>
        <w:spacing w:after="160" w:line="276" w:lineRule="auto"/>
        <w:jc w:val="both"/>
        <w:rPr>
          <w:rFonts w:ascii="Arial" w:eastAsia="Calibri" w:hAnsi="Arial" w:cs="Arial"/>
          <w:sz w:val="22"/>
          <w:szCs w:val="22"/>
          <w:lang w:val="es-ES" w:eastAsia="en-US"/>
        </w:rPr>
      </w:pPr>
    </w:p>
    <w:p w14:paraId="7EBA8EAB" w14:textId="26019EDC" w:rsidR="00AD423E" w:rsidRPr="00FB3ABD" w:rsidRDefault="00AD423E" w:rsidP="008F44CA">
      <w:pPr>
        <w:spacing w:after="160" w:line="276" w:lineRule="auto"/>
        <w:jc w:val="both"/>
        <w:rPr>
          <w:rFonts w:ascii="Arial" w:eastAsia="Calibri" w:hAnsi="Arial" w:cs="Arial"/>
          <w:sz w:val="22"/>
          <w:szCs w:val="22"/>
          <w:u w:val="single"/>
          <w:lang w:val="es-ES" w:eastAsia="en-US"/>
        </w:rPr>
      </w:pPr>
      <w:r w:rsidRPr="00FB3ABD">
        <w:rPr>
          <w:rFonts w:ascii="Arial" w:eastAsia="Calibri" w:hAnsi="Arial" w:cs="Arial"/>
          <w:sz w:val="22"/>
          <w:szCs w:val="22"/>
          <w:u w:val="single"/>
          <w:lang w:val="es-ES" w:eastAsia="en-US"/>
        </w:rPr>
        <w:t>Respecto al desarrollo de nuevas funcionalidades a través de la dotación de sistemas de Información para la prestación de servicios públicos digitales eficientes</w:t>
      </w:r>
      <w:r w:rsidR="008F44CA" w:rsidRPr="00FB3ABD">
        <w:rPr>
          <w:rFonts w:ascii="Arial" w:eastAsia="Calibri" w:hAnsi="Arial" w:cs="Arial"/>
          <w:sz w:val="22"/>
          <w:szCs w:val="22"/>
          <w:u w:val="single"/>
          <w:lang w:val="es-ES" w:eastAsia="en-US"/>
        </w:rPr>
        <w:t>:</w:t>
      </w:r>
    </w:p>
    <w:p w14:paraId="401C35F9" w14:textId="02B429C1" w:rsidR="00F0562F" w:rsidRPr="008F44CA" w:rsidRDefault="00F0562F" w:rsidP="008F44CA">
      <w:pPr>
        <w:spacing w:after="160" w:line="276" w:lineRule="auto"/>
        <w:jc w:val="both"/>
        <w:rPr>
          <w:rFonts w:ascii="Arial" w:eastAsia="Calibri" w:hAnsi="Arial" w:cs="Arial"/>
          <w:sz w:val="22"/>
          <w:szCs w:val="22"/>
          <w:lang w:val="es-ES" w:eastAsia="en-US"/>
        </w:rPr>
      </w:pPr>
      <w:r w:rsidRPr="008F44CA">
        <w:rPr>
          <w:rFonts w:ascii="Arial" w:eastAsia="Calibri" w:hAnsi="Arial" w:cs="Arial"/>
          <w:sz w:val="22"/>
          <w:szCs w:val="22"/>
          <w:lang w:val="es-ES" w:eastAsia="en-US"/>
        </w:rPr>
        <w:t>Con esta inversión se pretende cubrir las necesidades de servicios de desarrollo informático de la AESAN para un periodo de dos años con el fin de abordar el desarrollo de sistemas de carácter sectorial que sustenten, ya no solo el trabajo de sus empleados, sino la forma de relacionarse electrónicamente con CCAA y organismos europeos como</w:t>
      </w:r>
      <w:r w:rsidR="00AD423E" w:rsidRPr="008F44CA">
        <w:rPr>
          <w:rFonts w:ascii="Arial" w:eastAsia="Calibri" w:hAnsi="Arial" w:cs="Arial"/>
          <w:sz w:val="22"/>
          <w:szCs w:val="22"/>
          <w:lang w:val="es-ES" w:eastAsia="en-US"/>
        </w:rPr>
        <w:t xml:space="preserve"> la Agencia Europea de Seguridad Alimentaria (</w:t>
      </w:r>
      <w:r w:rsidRPr="008F44CA">
        <w:rPr>
          <w:rFonts w:ascii="Arial" w:eastAsia="Calibri" w:hAnsi="Arial" w:cs="Arial"/>
          <w:sz w:val="22"/>
          <w:szCs w:val="22"/>
          <w:lang w:val="es-ES" w:eastAsia="en-US"/>
        </w:rPr>
        <w:t>EFSA</w:t>
      </w:r>
      <w:r w:rsidR="00AD423E" w:rsidRPr="008F44CA">
        <w:rPr>
          <w:rFonts w:ascii="Arial" w:eastAsia="Calibri" w:hAnsi="Arial" w:cs="Arial"/>
          <w:sz w:val="22"/>
          <w:szCs w:val="22"/>
          <w:lang w:val="es-ES" w:eastAsia="en-US"/>
        </w:rPr>
        <w:t>)</w:t>
      </w:r>
      <w:r w:rsidRPr="008F44CA">
        <w:rPr>
          <w:rFonts w:ascii="Arial" w:eastAsia="Calibri" w:hAnsi="Arial" w:cs="Arial"/>
          <w:sz w:val="22"/>
          <w:szCs w:val="22"/>
          <w:lang w:val="es-ES" w:eastAsia="en-US"/>
        </w:rPr>
        <w:t xml:space="preserve">. </w:t>
      </w:r>
      <w:r w:rsidR="00AD423E" w:rsidRPr="008F44CA">
        <w:rPr>
          <w:rFonts w:ascii="Arial" w:eastAsia="Calibri" w:hAnsi="Arial" w:cs="Arial"/>
          <w:sz w:val="22"/>
          <w:szCs w:val="22"/>
          <w:lang w:val="es-ES" w:eastAsia="en-US"/>
        </w:rPr>
        <w:t>Se desarrollará una nueva aplicación para el registro general sanitario de alimentos (RGSEAA), datos básicos para el desarrollo de nuevas líneas en cualquier operador alimentario; también se desarrollará la parte de control oficial, mediante la mejora y crecimiento de varias bases de datos de control oficial (SIRECO, GEDA).</w:t>
      </w:r>
    </w:p>
    <w:p w14:paraId="154F7856" w14:textId="77777777" w:rsidR="00F0562F" w:rsidRPr="008F44CA" w:rsidRDefault="00F0562F" w:rsidP="008F44CA">
      <w:pPr>
        <w:tabs>
          <w:tab w:val="left" w:pos="7938"/>
        </w:tabs>
        <w:spacing w:after="40" w:line="276" w:lineRule="auto"/>
        <w:contextualSpacing/>
        <w:jc w:val="both"/>
        <w:rPr>
          <w:rFonts w:ascii="Arial" w:eastAsia="Calibri" w:hAnsi="Arial" w:cs="Arial"/>
          <w:sz w:val="22"/>
          <w:szCs w:val="22"/>
          <w:lang w:val="es-ES" w:eastAsia="en-US"/>
        </w:rPr>
      </w:pPr>
      <w:r w:rsidRPr="008F44CA">
        <w:rPr>
          <w:rFonts w:ascii="Arial" w:eastAsia="Calibri" w:hAnsi="Arial" w:cs="Arial"/>
          <w:sz w:val="22"/>
          <w:szCs w:val="22"/>
          <w:lang w:val="es-ES" w:eastAsia="en-US"/>
        </w:rPr>
        <w:lastRenderedPageBreak/>
        <w:t>Finalmente hay que indicar que a través de los procedimientos de contratación pública que regirán estas actuaciones se aseguran, tal y como se señala en el artículo 1 de la ley, los principios de libertad de acceso a las licitaciones, publicidad y transparencia de los procedimientos, y no discriminación e igualdad de trato entre los licitadores; y se asegura, en conexión con el objetivo de estabilidad presupuestaria y control del gasto, y el principio de integridad, una eficiente utilización de los fondos destinados a la adquisición de bienes y la contratación de servicios mediante la exigencia de la definición previa de las necesidades a satisfacer, la salvaguarda de la libre competencia y la selección de la oferta económicamente más ventajosa.</w:t>
      </w:r>
    </w:p>
    <w:p w14:paraId="3E1866EA" w14:textId="77777777" w:rsidR="008F44CA" w:rsidRDefault="008F44CA" w:rsidP="008F44CA">
      <w:pPr>
        <w:spacing w:before="120" w:after="120" w:line="276" w:lineRule="auto"/>
        <w:jc w:val="both"/>
        <w:rPr>
          <w:rFonts w:ascii="Arial" w:hAnsi="Arial" w:cs="Arial"/>
          <w:b/>
          <w:sz w:val="22"/>
          <w:szCs w:val="22"/>
        </w:rPr>
      </w:pPr>
    </w:p>
    <w:p w14:paraId="1A5D6415" w14:textId="678D984B" w:rsidR="00D415D2" w:rsidRPr="00B9503F" w:rsidRDefault="00D415D2" w:rsidP="008F44CA">
      <w:pPr>
        <w:spacing w:before="120" w:after="120" w:line="276" w:lineRule="auto"/>
        <w:jc w:val="both"/>
        <w:rPr>
          <w:rFonts w:ascii="Arial" w:hAnsi="Arial" w:cs="Arial"/>
          <w:b/>
          <w:sz w:val="22"/>
          <w:szCs w:val="22"/>
        </w:rPr>
      </w:pPr>
      <w:r w:rsidRPr="00B9503F">
        <w:rPr>
          <w:rFonts w:ascii="Arial" w:hAnsi="Arial" w:cs="Arial"/>
          <w:b/>
          <w:sz w:val="22"/>
          <w:szCs w:val="22"/>
        </w:rPr>
        <w:t>5. Coste de la inversión y distribución anualizada:</w:t>
      </w:r>
    </w:p>
    <w:p w14:paraId="3B3B3D6D" w14:textId="41B28733" w:rsidR="00D415D2" w:rsidRPr="00B9503F" w:rsidRDefault="00D415D2" w:rsidP="008F44CA">
      <w:pPr>
        <w:spacing w:before="100" w:line="276" w:lineRule="auto"/>
        <w:jc w:val="both"/>
        <w:rPr>
          <w:rFonts w:ascii="Arial" w:hAnsi="Arial" w:cs="Arial"/>
          <w:b/>
          <w:sz w:val="22"/>
          <w:szCs w:val="22"/>
        </w:rPr>
      </w:pPr>
      <w:r w:rsidRPr="00B9503F">
        <w:rPr>
          <w:rFonts w:ascii="Arial" w:hAnsi="Arial" w:cs="Arial"/>
          <w:bCs/>
          <w:sz w:val="22"/>
          <w:szCs w:val="22"/>
        </w:rPr>
        <w:t>(en miles de euros)</w:t>
      </w:r>
    </w:p>
    <w:tbl>
      <w:tblPr>
        <w:tblStyle w:val="Tablaconcuadrcula"/>
        <w:tblW w:w="8926" w:type="dxa"/>
        <w:tblLayout w:type="fixed"/>
        <w:tblLook w:val="04A0" w:firstRow="1" w:lastRow="0" w:firstColumn="1" w:lastColumn="0" w:noHBand="0" w:noVBand="1"/>
      </w:tblPr>
      <w:tblGrid>
        <w:gridCol w:w="1971"/>
        <w:gridCol w:w="709"/>
        <w:gridCol w:w="709"/>
        <w:gridCol w:w="1001"/>
        <w:gridCol w:w="992"/>
        <w:gridCol w:w="850"/>
        <w:gridCol w:w="851"/>
        <w:gridCol w:w="708"/>
        <w:gridCol w:w="1135"/>
      </w:tblGrid>
      <w:tr w:rsidR="00D415D2" w:rsidRPr="00B9503F" w14:paraId="760FE350" w14:textId="77777777" w:rsidTr="00F76D9D">
        <w:tc>
          <w:tcPr>
            <w:tcW w:w="1971" w:type="dxa"/>
          </w:tcPr>
          <w:p w14:paraId="6DD7FD74" w14:textId="77777777" w:rsidR="00D415D2" w:rsidRPr="00B9503F" w:rsidRDefault="00D415D2" w:rsidP="008F44CA">
            <w:pPr>
              <w:spacing w:before="100" w:line="276" w:lineRule="auto"/>
              <w:jc w:val="both"/>
              <w:rPr>
                <w:rFonts w:ascii="Arial" w:hAnsi="Arial" w:cs="Arial"/>
                <w:b/>
                <w:sz w:val="22"/>
                <w:szCs w:val="22"/>
              </w:rPr>
            </w:pPr>
            <w:r w:rsidRPr="00B9503F">
              <w:rPr>
                <w:rFonts w:ascii="Arial" w:hAnsi="Arial" w:cs="Arial"/>
                <w:b/>
                <w:sz w:val="22"/>
                <w:szCs w:val="22"/>
              </w:rPr>
              <w:t>Periodificación</w:t>
            </w:r>
          </w:p>
        </w:tc>
        <w:tc>
          <w:tcPr>
            <w:tcW w:w="709" w:type="dxa"/>
          </w:tcPr>
          <w:p w14:paraId="12234161" w14:textId="77777777" w:rsidR="00D415D2" w:rsidRPr="00B9503F" w:rsidRDefault="00D415D2" w:rsidP="008F44CA">
            <w:pPr>
              <w:spacing w:before="100" w:line="276" w:lineRule="auto"/>
              <w:jc w:val="both"/>
              <w:rPr>
                <w:rFonts w:ascii="Arial" w:hAnsi="Arial" w:cs="Arial"/>
                <w:b/>
                <w:sz w:val="22"/>
                <w:szCs w:val="22"/>
              </w:rPr>
            </w:pPr>
            <w:r w:rsidRPr="00B9503F">
              <w:rPr>
                <w:rFonts w:ascii="Arial" w:hAnsi="Arial" w:cs="Arial"/>
                <w:b/>
                <w:sz w:val="22"/>
                <w:szCs w:val="22"/>
              </w:rPr>
              <w:t>2020</w:t>
            </w:r>
          </w:p>
        </w:tc>
        <w:tc>
          <w:tcPr>
            <w:tcW w:w="709" w:type="dxa"/>
          </w:tcPr>
          <w:p w14:paraId="6D8FF1FD" w14:textId="77777777" w:rsidR="00D415D2" w:rsidRPr="00B9503F" w:rsidRDefault="00D415D2" w:rsidP="008F44CA">
            <w:pPr>
              <w:spacing w:before="100" w:line="276" w:lineRule="auto"/>
              <w:jc w:val="both"/>
              <w:rPr>
                <w:rFonts w:ascii="Arial" w:hAnsi="Arial" w:cs="Arial"/>
                <w:b/>
                <w:sz w:val="22"/>
                <w:szCs w:val="22"/>
              </w:rPr>
            </w:pPr>
            <w:r w:rsidRPr="00B9503F">
              <w:rPr>
                <w:rFonts w:ascii="Arial" w:hAnsi="Arial" w:cs="Arial"/>
                <w:b/>
                <w:sz w:val="22"/>
                <w:szCs w:val="22"/>
              </w:rPr>
              <w:t>2021</w:t>
            </w:r>
          </w:p>
        </w:tc>
        <w:tc>
          <w:tcPr>
            <w:tcW w:w="1001" w:type="dxa"/>
          </w:tcPr>
          <w:p w14:paraId="46436940" w14:textId="77777777" w:rsidR="00D415D2" w:rsidRPr="00B9503F" w:rsidRDefault="00D415D2" w:rsidP="008F44CA">
            <w:pPr>
              <w:spacing w:before="100" w:line="276" w:lineRule="auto"/>
              <w:jc w:val="both"/>
              <w:rPr>
                <w:rFonts w:ascii="Arial" w:hAnsi="Arial" w:cs="Arial"/>
                <w:b/>
                <w:sz w:val="22"/>
                <w:szCs w:val="22"/>
              </w:rPr>
            </w:pPr>
            <w:r w:rsidRPr="00B9503F">
              <w:rPr>
                <w:rFonts w:ascii="Arial" w:hAnsi="Arial" w:cs="Arial"/>
                <w:b/>
                <w:sz w:val="22"/>
                <w:szCs w:val="22"/>
              </w:rPr>
              <w:t>2022</w:t>
            </w:r>
          </w:p>
        </w:tc>
        <w:tc>
          <w:tcPr>
            <w:tcW w:w="992" w:type="dxa"/>
          </w:tcPr>
          <w:p w14:paraId="23299D49" w14:textId="77777777" w:rsidR="00D415D2" w:rsidRPr="00B9503F" w:rsidRDefault="00D415D2" w:rsidP="008F44CA">
            <w:pPr>
              <w:spacing w:before="100" w:line="276" w:lineRule="auto"/>
              <w:jc w:val="both"/>
              <w:rPr>
                <w:rFonts w:ascii="Arial" w:hAnsi="Arial" w:cs="Arial"/>
                <w:b/>
                <w:sz w:val="22"/>
                <w:szCs w:val="22"/>
              </w:rPr>
            </w:pPr>
            <w:r w:rsidRPr="00B9503F">
              <w:rPr>
                <w:rFonts w:ascii="Arial" w:hAnsi="Arial" w:cs="Arial"/>
                <w:b/>
                <w:sz w:val="22"/>
                <w:szCs w:val="22"/>
              </w:rPr>
              <w:t>2023</w:t>
            </w:r>
          </w:p>
        </w:tc>
        <w:tc>
          <w:tcPr>
            <w:tcW w:w="850" w:type="dxa"/>
          </w:tcPr>
          <w:p w14:paraId="0E83B59E" w14:textId="77777777" w:rsidR="00D415D2" w:rsidRPr="00B9503F" w:rsidRDefault="00D415D2" w:rsidP="008F44CA">
            <w:pPr>
              <w:spacing w:before="100" w:line="276" w:lineRule="auto"/>
              <w:jc w:val="both"/>
              <w:rPr>
                <w:rFonts w:ascii="Arial" w:hAnsi="Arial" w:cs="Arial"/>
                <w:b/>
                <w:sz w:val="22"/>
                <w:szCs w:val="22"/>
              </w:rPr>
            </w:pPr>
            <w:r w:rsidRPr="00B9503F">
              <w:rPr>
                <w:rFonts w:ascii="Arial" w:hAnsi="Arial" w:cs="Arial"/>
                <w:b/>
                <w:sz w:val="22"/>
                <w:szCs w:val="22"/>
              </w:rPr>
              <w:t>2024</w:t>
            </w:r>
          </w:p>
        </w:tc>
        <w:tc>
          <w:tcPr>
            <w:tcW w:w="851" w:type="dxa"/>
          </w:tcPr>
          <w:p w14:paraId="6DDB156F" w14:textId="77777777" w:rsidR="00D415D2" w:rsidRPr="00B9503F" w:rsidRDefault="00D415D2" w:rsidP="008F44CA">
            <w:pPr>
              <w:spacing w:before="100" w:line="276" w:lineRule="auto"/>
              <w:jc w:val="both"/>
              <w:rPr>
                <w:rFonts w:ascii="Arial" w:hAnsi="Arial" w:cs="Arial"/>
                <w:b/>
                <w:sz w:val="22"/>
                <w:szCs w:val="22"/>
              </w:rPr>
            </w:pPr>
            <w:r w:rsidRPr="00B9503F">
              <w:rPr>
                <w:rFonts w:ascii="Arial" w:hAnsi="Arial" w:cs="Arial"/>
                <w:b/>
                <w:sz w:val="22"/>
                <w:szCs w:val="22"/>
              </w:rPr>
              <w:t>2025</w:t>
            </w:r>
          </w:p>
        </w:tc>
        <w:tc>
          <w:tcPr>
            <w:tcW w:w="708" w:type="dxa"/>
          </w:tcPr>
          <w:p w14:paraId="08D23585" w14:textId="77777777" w:rsidR="00D415D2" w:rsidRPr="00B9503F" w:rsidRDefault="00D415D2" w:rsidP="008F44CA">
            <w:pPr>
              <w:spacing w:before="100" w:line="276" w:lineRule="auto"/>
              <w:jc w:val="both"/>
              <w:rPr>
                <w:rFonts w:ascii="Arial" w:hAnsi="Arial" w:cs="Arial"/>
                <w:b/>
                <w:sz w:val="22"/>
                <w:szCs w:val="22"/>
              </w:rPr>
            </w:pPr>
            <w:r w:rsidRPr="00B9503F">
              <w:rPr>
                <w:rFonts w:ascii="Arial" w:hAnsi="Arial" w:cs="Arial"/>
                <w:b/>
                <w:sz w:val="22"/>
                <w:szCs w:val="22"/>
              </w:rPr>
              <w:t>2026</w:t>
            </w:r>
          </w:p>
        </w:tc>
        <w:tc>
          <w:tcPr>
            <w:tcW w:w="1135" w:type="dxa"/>
          </w:tcPr>
          <w:p w14:paraId="035BDBE7" w14:textId="77777777" w:rsidR="00D415D2" w:rsidRPr="00B9503F" w:rsidRDefault="00D415D2" w:rsidP="008F44CA">
            <w:pPr>
              <w:spacing w:before="100" w:line="276" w:lineRule="auto"/>
              <w:jc w:val="both"/>
              <w:rPr>
                <w:rFonts w:ascii="Arial" w:hAnsi="Arial" w:cs="Arial"/>
                <w:b/>
                <w:sz w:val="22"/>
                <w:szCs w:val="22"/>
              </w:rPr>
            </w:pPr>
            <w:r w:rsidRPr="00B9503F">
              <w:rPr>
                <w:rFonts w:ascii="Arial" w:hAnsi="Arial" w:cs="Arial"/>
                <w:b/>
                <w:sz w:val="22"/>
                <w:szCs w:val="22"/>
              </w:rPr>
              <w:t>Total</w:t>
            </w:r>
          </w:p>
        </w:tc>
      </w:tr>
      <w:tr w:rsidR="00D415D2" w:rsidRPr="00B9503F" w14:paraId="5B4DA84D" w14:textId="77777777" w:rsidTr="00F76D9D">
        <w:tc>
          <w:tcPr>
            <w:tcW w:w="1971" w:type="dxa"/>
          </w:tcPr>
          <w:p w14:paraId="5A906F51" w14:textId="77777777" w:rsidR="00D415D2" w:rsidRPr="00B9503F" w:rsidRDefault="00D415D2" w:rsidP="008F44CA">
            <w:pPr>
              <w:spacing w:before="100" w:line="276" w:lineRule="auto"/>
              <w:jc w:val="both"/>
              <w:rPr>
                <w:rFonts w:ascii="Arial" w:hAnsi="Arial" w:cs="Arial"/>
                <w:b/>
                <w:sz w:val="22"/>
                <w:szCs w:val="22"/>
              </w:rPr>
            </w:pPr>
            <w:r w:rsidRPr="00B9503F">
              <w:rPr>
                <w:rFonts w:ascii="Arial" w:hAnsi="Arial" w:cs="Arial"/>
                <w:b/>
                <w:sz w:val="22"/>
                <w:szCs w:val="22"/>
              </w:rPr>
              <w:t>Coste del Mecanismo</w:t>
            </w:r>
          </w:p>
        </w:tc>
        <w:tc>
          <w:tcPr>
            <w:tcW w:w="709" w:type="dxa"/>
          </w:tcPr>
          <w:p w14:paraId="720B6EFC" w14:textId="77777777" w:rsidR="00D415D2" w:rsidRPr="00B9503F" w:rsidRDefault="00D415D2" w:rsidP="008F44CA">
            <w:pPr>
              <w:spacing w:before="100" w:line="276" w:lineRule="auto"/>
              <w:jc w:val="both"/>
              <w:rPr>
                <w:rFonts w:ascii="Arial" w:hAnsi="Arial" w:cs="Arial"/>
                <w:b/>
                <w:sz w:val="22"/>
                <w:szCs w:val="22"/>
              </w:rPr>
            </w:pPr>
          </w:p>
        </w:tc>
        <w:tc>
          <w:tcPr>
            <w:tcW w:w="709" w:type="dxa"/>
          </w:tcPr>
          <w:p w14:paraId="3BAD9D5A" w14:textId="77777777" w:rsidR="00D415D2" w:rsidRPr="00B9503F" w:rsidRDefault="00D415D2" w:rsidP="008F44CA">
            <w:pPr>
              <w:spacing w:before="100" w:line="276" w:lineRule="auto"/>
              <w:jc w:val="both"/>
              <w:rPr>
                <w:rFonts w:ascii="Arial" w:hAnsi="Arial" w:cs="Arial"/>
                <w:b/>
                <w:sz w:val="22"/>
                <w:szCs w:val="22"/>
              </w:rPr>
            </w:pPr>
          </w:p>
        </w:tc>
        <w:tc>
          <w:tcPr>
            <w:tcW w:w="1001" w:type="dxa"/>
          </w:tcPr>
          <w:p w14:paraId="0E7A5D71" w14:textId="77777777" w:rsidR="00D415D2" w:rsidRPr="00B9503F" w:rsidRDefault="00D415D2" w:rsidP="008F44CA">
            <w:pPr>
              <w:spacing w:before="100" w:line="276" w:lineRule="auto"/>
              <w:jc w:val="both"/>
              <w:rPr>
                <w:rFonts w:ascii="Arial" w:hAnsi="Arial" w:cs="Arial"/>
                <w:b/>
                <w:sz w:val="22"/>
                <w:szCs w:val="22"/>
              </w:rPr>
            </w:pPr>
            <w:r w:rsidRPr="00B9503F">
              <w:rPr>
                <w:rFonts w:ascii="Arial" w:hAnsi="Arial" w:cs="Arial"/>
                <w:b/>
                <w:sz w:val="22"/>
                <w:szCs w:val="22"/>
              </w:rPr>
              <w:t>737,95</w:t>
            </w:r>
          </w:p>
        </w:tc>
        <w:tc>
          <w:tcPr>
            <w:tcW w:w="992" w:type="dxa"/>
          </w:tcPr>
          <w:p w14:paraId="075F6011" w14:textId="77777777" w:rsidR="00D415D2" w:rsidRPr="00B9503F" w:rsidRDefault="00D415D2" w:rsidP="008F44CA">
            <w:pPr>
              <w:spacing w:before="100" w:line="276" w:lineRule="auto"/>
              <w:jc w:val="both"/>
              <w:rPr>
                <w:rFonts w:ascii="Arial" w:hAnsi="Arial" w:cs="Arial"/>
                <w:b/>
                <w:sz w:val="22"/>
                <w:szCs w:val="22"/>
              </w:rPr>
            </w:pPr>
            <w:r w:rsidRPr="00B9503F">
              <w:rPr>
                <w:rFonts w:ascii="Arial" w:hAnsi="Arial" w:cs="Arial"/>
                <w:b/>
                <w:sz w:val="22"/>
                <w:szCs w:val="22"/>
              </w:rPr>
              <w:t>623,24</w:t>
            </w:r>
          </w:p>
        </w:tc>
        <w:tc>
          <w:tcPr>
            <w:tcW w:w="850" w:type="dxa"/>
          </w:tcPr>
          <w:p w14:paraId="70F51F80" w14:textId="77777777" w:rsidR="00D415D2" w:rsidRPr="00B9503F" w:rsidRDefault="00D415D2" w:rsidP="008F44CA">
            <w:pPr>
              <w:spacing w:before="100" w:line="276" w:lineRule="auto"/>
              <w:jc w:val="both"/>
              <w:rPr>
                <w:rFonts w:ascii="Arial" w:hAnsi="Arial" w:cs="Arial"/>
                <w:b/>
                <w:sz w:val="22"/>
                <w:szCs w:val="22"/>
              </w:rPr>
            </w:pPr>
          </w:p>
        </w:tc>
        <w:tc>
          <w:tcPr>
            <w:tcW w:w="851" w:type="dxa"/>
          </w:tcPr>
          <w:p w14:paraId="06C65B9A" w14:textId="77777777" w:rsidR="00D415D2" w:rsidRPr="00B9503F" w:rsidRDefault="00D415D2" w:rsidP="008F44CA">
            <w:pPr>
              <w:spacing w:before="100" w:line="276" w:lineRule="auto"/>
              <w:jc w:val="both"/>
              <w:rPr>
                <w:rFonts w:ascii="Arial" w:hAnsi="Arial" w:cs="Arial"/>
                <w:b/>
                <w:sz w:val="22"/>
                <w:szCs w:val="22"/>
              </w:rPr>
            </w:pPr>
          </w:p>
        </w:tc>
        <w:tc>
          <w:tcPr>
            <w:tcW w:w="708" w:type="dxa"/>
          </w:tcPr>
          <w:p w14:paraId="02B4DE38" w14:textId="77777777" w:rsidR="00D415D2" w:rsidRPr="00B9503F" w:rsidRDefault="00D415D2" w:rsidP="008F44CA">
            <w:pPr>
              <w:spacing w:before="100" w:line="276" w:lineRule="auto"/>
              <w:jc w:val="both"/>
              <w:rPr>
                <w:rFonts w:ascii="Arial" w:hAnsi="Arial" w:cs="Arial"/>
                <w:b/>
                <w:sz w:val="22"/>
                <w:szCs w:val="22"/>
              </w:rPr>
            </w:pPr>
          </w:p>
        </w:tc>
        <w:tc>
          <w:tcPr>
            <w:tcW w:w="1135" w:type="dxa"/>
          </w:tcPr>
          <w:p w14:paraId="6FBDB174" w14:textId="77777777" w:rsidR="00D415D2" w:rsidRPr="00B9503F" w:rsidRDefault="00D415D2" w:rsidP="008F44CA">
            <w:pPr>
              <w:spacing w:before="100" w:line="276" w:lineRule="auto"/>
              <w:jc w:val="both"/>
              <w:rPr>
                <w:rFonts w:ascii="Arial" w:hAnsi="Arial" w:cs="Arial"/>
                <w:b/>
                <w:sz w:val="22"/>
                <w:szCs w:val="22"/>
              </w:rPr>
            </w:pPr>
            <w:r w:rsidRPr="00B9503F">
              <w:rPr>
                <w:rFonts w:ascii="Arial" w:hAnsi="Arial" w:cs="Arial"/>
                <w:b/>
                <w:sz w:val="22"/>
                <w:szCs w:val="22"/>
              </w:rPr>
              <w:t>1.361,19</w:t>
            </w:r>
          </w:p>
        </w:tc>
      </w:tr>
      <w:tr w:rsidR="00D415D2" w:rsidRPr="00B9503F" w14:paraId="5EADB241" w14:textId="77777777" w:rsidTr="00F76D9D">
        <w:trPr>
          <w:trHeight w:val="346"/>
        </w:trPr>
        <w:tc>
          <w:tcPr>
            <w:tcW w:w="1971" w:type="dxa"/>
          </w:tcPr>
          <w:p w14:paraId="4D3E77CD" w14:textId="77777777" w:rsidR="00D415D2" w:rsidRPr="00B9503F" w:rsidRDefault="00D415D2" w:rsidP="008F44CA">
            <w:pPr>
              <w:spacing w:before="100" w:line="276" w:lineRule="auto"/>
              <w:jc w:val="both"/>
              <w:rPr>
                <w:rFonts w:ascii="Arial" w:hAnsi="Arial" w:cs="Arial"/>
                <w:b/>
                <w:sz w:val="22"/>
                <w:szCs w:val="22"/>
              </w:rPr>
            </w:pPr>
            <w:r w:rsidRPr="00B9503F">
              <w:rPr>
                <w:rFonts w:ascii="Arial" w:hAnsi="Arial" w:cs="Arial"/>
                <w:b/>
                <w:sz w:val="22"/>
                <w:szCs w:val="22"/>
              </w:rPr>
              <w:t>Otra financiación</w:t>
            </w:r>
          </w:p>
        </w:tc>
        <w:tc>
          <w:tcPr>
            <w:tcW w:w="709" w:type="dxa"/>
          </w:tcPr>
          <w:p w14:paraId="7086C78A" w14:textId="77777777" w:rsidR="00D415D2" w:rsidRPr="00B9503F" w:rsidRDefault="00D415D2" w:rsidP="008F44CA">
            <w:pPr>
              <w:spacing w:before="100" w:line="276" w:lineRule="auto"/>
              <w:jc w:val="both"/>
              <w:rPr>
                <w:rFonts w:ascii="Arial" w:hAnsi="Arial" w:cs="Arial"/>
                <w:b/>
                <w:sz w:val="22"/>
                <w:szCs w:val="22"/>
              </w:rPr>
            </w:pPr>
          </w:p>
        </w:tc>
        <w:tc>
          <w:tcPr>
            <w:tcW w:w="709" w:type="dxa"/>
          </w:tcPr>
          <w:p w14:paraId="7DA1F1B0" w14:textId="77777777" w:rsidR="00D415D2" w:rsidRPr="00B9503F" w:rsidRDefault="00D415D2" w:rsidP="008F44CA">
            <w:pPr>
              <w:spacing w:before="100" w:line="276" w:lineRule="auto"/>
              <w:jc w:val="both"/>
              <w:rPr>
                <w:rFonts w:ascii="Arial" w:hAnsi="Arial" w:cs="Arial"/>
                <w:b/>
                <w:sz w:val="22"/>
                <w:szCs w:val="22"/>
              </w:rPr>
            </w:pPr>
          </w:p>
        </w:tc>
        <w:tc>
          <w:tcPr>
            <w:tcW w:w="1001" w:type="dxa"/>
          </w:tcPr>
          <w:p w14:paraId="48C1F72E" w14:textId="3F859E47" w:rsidR="00D415D2" w:rsidRPr="00B9503F" w:rsidRDefault="00D415D2" w:rsidP="008F44CA">
            <w:pPr>
              <w:spacing w:before="100" w:line="276" w:lineRule="auto"/>
              <w:jc w:val="both"/>
              <w:rPr>
                <w:rFonts w:ascii="Arial" w:hAnsi="Arial" w:cs="Arial"/>
                <w:b/>
                <w:sz w:val="22"/>
                <w:szCs w:val="22"/>
              </w:rPr>
            </w:pPr>
            <w:r w:rsidRPr="00B9503F">
              <w:rPr>
                <w:rFonts w:ascii="Arial" w:hAnsi="Arial" w:cs="Arial"/>
                <w:b/>
                <w:sz w:val="22"/>
                <w:szCs w:val="22"/>
              </w:rPr>
              <w:t>0</w:t>
            </w:r>
            <w:r w:rsidR="00F76D9D" w:rsidRPr="00B9503F">
              <w:rPr>
                <w:rFonts w:ascii="Arial" w:hAnsi="Arial" w:cs="Arial"/>
                <w:b/>
                <w:sz w:val="22"/>
                <w:szCs w:val="22"/>
              </w:rPr>
              <w:t>,00</w:t>
            </w:r>
          </w:p>
        </w:tc>
        <w:tc>
          <w:tcPr>
            <w:tcW w:w="992" w:type="dxa"/>
          </w:tcPr>
          <w:p w14:paraId="54347E7F" w14:textId="5F1EBAA6" w:rsidR="00D415D2" w:rsidRPr="00B9503F" w:rsidRDefault="00D415D2" w:rsidP="008F44CA">
            <w:pPr>
              <w:spacing w:before="100" w:line="276" w:lineRule="auto"/>
              <w:jc w:val="both"/>
              <w:rPr>
                <w:rFonts w:ascii="Arial" w:hAnsi="Arial" w:cs="Arial"/>
                <w:b/>
                <w:sz w:val="22"/>
                <w:szCs w:val="22"/>
              </w:rPr>
            </w:pPr>
            <w:r w:rsidRPr="00B9503F">
              <w:rPr>
                <w:rFonts w:ascii="Arial" w:hAnsi="Arial" w:cs="Arial"/>
                <w:b/>
                <w:sz w:val="22"/>
                <w:szCs w:val="22"/>
              </w:rPr>
              <w:t>0</w:t>
            </w:r>
            <w:r w:rsidR="00F76D9D" w:rsidRPr="00B9503F">
              <w:rPr>
                <w:rFonts w:ascii="Arial" w:hAnsi="Arial" w:cs="Arial"/>
                <w:b/>
                <w:sz w:val="22"/>
                <w:szCs w:val="22"/>
              </w:rPr>
              <w:t>,00</w:t>
            </w:r>
          </w:p>
        </w:tc>
        <w:tc>
          <w:tcPr>
            <w:tcW w:w="850" w:type="dxa"/>
          </w:tcPr>
          <w:p w14:paraId="7CE59F5B" w14:textId="77777777" w:rsidR="00D415D2" w:rsidRPr="00B9503F" w:rsidRDefault="00D415D2" w:rsidP="008F44CA">
            <w:pPr>
              <w:spacing w:before="100" w:line="276" w:lineRule="auto"/>
              <w:jc w:val="both"/>
              <w:rPr>
                <w:rFonts w:ascii="Arial" w:hAnsi="Arial" w:cs="Arial"/>
                <w:b/>
                <w:sz w:val="22"/>
                <w:szCs w:val="22"/>
              </w:rPr>
            </w:pPr>
          </w:p>
        </w:tc>
        <w:tc>
          <w:tcPr>
            <w:tcW w:w="851" w:type="dxa"/>
          </w:tcPr>
          <w:p w14:paraId="101F625E" w14:textId="77777777" w:rsidR="00D415D2" w:rsidRPr="00B9503F" w:rsidRDefault="00D415D2" w:rsidP="008F44CA">
            <w:pPr>
              <w:spacing w:before="100" w:line="276" w:lineRule="auto"/>
              <w:jc w:val="both"/>
              <w:rPr>
                <w:rFonts w:ascii="Arial" w:hAnsi="Arial" w:cs="Arial"/>
                <w:b/>
                <w:sz w:val="22"/>
                <w:szCs w:val="22"/>
              </w:rPr>
            </w:pPr>
          </w:p>
        </w:tc>
        <w:tc>
          <w:tcPr>
            <w:tcW w:w="708" w:type="dxa"/>
          </w:tcPr>
          <w:p w14:paraId="1F0D70D0" w14:textId="77777777" w:rsidR="00D415D2" w:rsidRPr="00B9503F" w:rsidRDefault="00D415D2" w:rsidP="008F44CA">
            <w:pPr>
              <w:spacing w:before="100" w:line="276" w:lineRule="auto"/>
              <w:jc w:val="both"/>
              <w:rPr>
                <w:rFonts w:ascii="Arial" w:hAnsi="Arial" w:cs="Arial"/>
                <w:b/>
                <w:sz w:val="22"/>
                <w:szCs w:val="22"/>
              </w:rPr>
            </w:pPr>
          </w:p>
        </w:tc>
        <w:tc>
          <w:tcPr>
            <w:tcW w:w="1135" w:type="dxa"/>
          </w:tcPr>
          <w:p w14:paraId="61ADAC09" w14:textId="59A8C9C7" w:rsidR="00D415D2" w:rsidRPr="00B9503F" w:rsidRDefault="00D415D2" w:rsidP="008F44CA">
            <w:pPr>
              <w:spacing w:before="100" w:line="276" w:lineRule="auto"/>
              <w:jc w:val="both"/>
              <w:rPr>
                <w:rFonts w:ascii="Arial" w:hAnsi="Arial" w:cs="Arial"/>
                <w:b/>
                <w:sz w:val="22"/>
                <w:szCs w:val="22"/>
              </w:rPr>
            </w:pPr>
            <w:r w:rsidRPr="00B9503F">
              <w:rPr>
                <w:rFonts w:ascii="Arial" w:hAnsi="Arial" w:cs="Arial"/>
                <w:b/>
                <w:sz w:val="22"/>
                <w:szCs w:val="22"/>
              </w:rPr>
              <w:t>0</w:t>
            </w:r>
            <w:r w:rsidR="00F76D9D" w:rsidRPr="00B9503F">
              <w:rPr>
                <w:rFonts w:ascii="Arial" w:hAnsi="Arial" w:cs="Arial"/>
                <w:b/>
                <w:sz w:val="22"/>
                <w:szCs w:val="22"/>
              </w:rPr>
              <w:t>,00</w:t>
            </w:r>
          </w:p>
        </w:tc>
      </w:tr>
      <w:tr w:rsidR="00D415D2" w:rsidRPr="00B9503F" w14:paraId="7A244B93" w14:textId="77777777" w:rsidTr="00F76D9D">
        <w:tc>
          <w:tcPr>
            <w:tcW w:w="1971" w:type="dxa"/>
          </w:tcPr>
          <w:p w14:paraId="489C5169" w14:textId="77777777" w:rsidR="00D415D2" w:rsidRPr="00B9503F" w:rsidRDefault="00D415D2" w:rsidP="008F44CA">
            <w:pPr>
              <w:spacing w:before="100" w:line="276" w:lineRule="auto"/>
              <w:jc w:val="both"/>
              <w:rPr>
                <w:rFonts w:ascii="Arial" w:hAnsi="Arial" w:cs="Arial"/>
                <w:b/>
                <w:sz w:val="22"/>
                <w:szCs w:val="22"/>
              </w:rPr>
            </w:pPr>
            <w:r w:rsidRPr="00B9503F">
              <w:rPr>
                <w:rFonts w:ascii="Arial" w:hAnsi="Arial" w:cs="Arial"/>
                <w:b/>
                <w:sz w:val="22"/>
                <w:szCs w:val="22"/>
              </w:rPr>
              <w:t>Total</w:t>
            </w:r>
          </w:p>
        </w:tc>
        <w:tc>
          <w:tcPr>
            <w:tcW w:w="709" w:type="dxa"/>
          </w:tcPr>
          <w:p w14:paraId="2FEC1544" w14:textId="77777777" w:rsidR="00D415D2" w:rsidRPr="00B9503F" w:rsidRDefault="00D415D2" w:rsidP="008F44CA">
            <w:pPr>
              <w:spacing w:before="100" w:line="276" w:lineRule="auto"/>
              <w:jc w:val="both"/>
              <w:rPr>
                <w:rFonts w:ascii="Arial" w:hAnsi="Arial" w:cs="Arial"/>
                <w:b/>
                <w:sz w:val="22"/>
                <w:szCs w:val="22"/>
              </w:rPr>
            </w:pPr>
          </w:p>
        </w:tc>
        <w:tc>
          <w:tcPr>
            <w:tcW w:w="709" w:type="dxa"/>
          </w:tcPr>
          <w:p w14:paraId="0EF8AFAB" w14:textId="77777777" w:rsidR="00D415D2" w:rsidRPr="00B9503F" w:rsidRDefault="00D415D2" w:rsidP="008F44CA">
            <w:pPr>
              <w:spacing w:before="100" w:line="276" w:lineRule="auto"/>
              <w:jc w:val="both"/>
              <w:rPr>
                <w:rFonts w:ascii="Arial" w:hAnsi="Arial" w:cs="Arial"/>
                <w:b/>
                <w:sz w:val="22"/>
                <w:szCs w:val="22"/>
              </w:rPr>
            </w:pPr>
          </w:p>
        </w:tc>
        <w:tc>
          <w:tcPr>
            <w:tcW w:w="1001" w:type="dxa"/>
          </w:tcPr>
          <w:p w14:paraId="7577DE0D" w14:textId="77777777" w:rsidR="00D415D2" w:rsidRPr="00B9503F" w:rsidRDefault="00D415D2" w:rsidP="008F44CA">
            <w:pPr>
              <w:spacing w:before="100" w:line="276" w:lineRule="auto"/>
              <w:jc w:val="both"/>
              <w:rPr>
                <w:rFonts w:ascii="Arial" w:hAnsi="Arial" w:cs="Arial"/>
                <w:b/>
                <w:sz w:val="22"/>
                <w:szCs w:val="22"/>
              </w:rPr>
            </w:pPr>
            <w:r w:rsidRPr="00B9503F">
              <w:rPr>
                <w:rFonts w:ascii="Arial" w:hAnsi="Arial" w:cs="Arial"/>
                <w:b/>
                <w:sz w:val="22"/>
                <w:szCs w:val="22"/>
              </w:rPr>
              <w:t>737,95</w:t>
            </w:r>
          </w:p>
        </w:tc>
        <w:tc>
          <w:tcPr>
            <w:tcW w:w="992" w:type="dxa"/>
          </w:tcPr>
          <w:p w14:paraId="128E9C00" w14:textId="77777777" w:rsidR="00D415D2" w:rsidRPr="00B9503F" w:rsidRDefault="00D415D2" w:rsidP="008F44CA">
            <w:pPr>
              <w:spacing w:before="100" w:line="276" w:lineRule="auto"/>
              <w:jc w:val="both"/>
              <w:rPr>
                <w:rFonts w:ascii="Arial" w:hAnsi="Arial" w:cs="Arial"/>
                <w:b/>
                <w:sz w:val="22"/>
                <w:szCs w:val="22"/>
              </w:rPr>
            </w:pPr>
            <w:r w:rsidRPr="00B9503F">
              <w:rPr>
                <w:rFonts w:ascii="Arial" w:hAnsi="Arial" w:cs="Arial"/>
                <w:b/>
                <w:sz w:val="22"/>
                <w:szCs w:val="22"/>
              </w:rPr>
              <w:t>623,24</w:t>
            </w:r>
          </w:p>
        </w:tc>
        <w:tc>
          <w:tcPr>
            <w:tcW w:w="850" w:type="dxa"/>
          </w:tcPr>
          <w:p w14:paraId="04036879" w14:textId="77777777" w:rsidR="00D415D2" w:rsidRPr="00B9503F" w:rsidRDefault="00D415D2" w:rsidP="008F44CA">
            <w:pPr>
              <w:spacing w:before="100" w:line="276" w:lineRule="auto"/>
              <w:jc w:val="both"/>
              <w:rPr>
                <w:rFonts w:ascii="Arial" w:hAnsi="Arial" w:cs="Arial"/>
                <w:b/>
                <w:sz w:val="22"/>
                <w:szCs w:val="22"/>
              </w:rPr>
            </w:pPr>
          </w:p>
        </w:tc>
        <w:tc>
          <w:tcPr>
            <w:tcW w:w="851" w:type="dxa"/>
          </w:tcPr>
          <w:p w14:paraId="11CB8D7A" w14:textId="77777777" w:rsidR="00D415D2" w:rsidRPr="00B9503F" w:rsidRDefault="00D415D2" w:rsidP="008F44CA">
            <w:pPr>
              <w:spacing w:before="100" w:line="276" w:lineRule="auto"/>
              <w:jc w:val="both"/>
              <w:rPr>
                <w:rFonts w:ascii="Arial" w:hAnsi="Arial" w:cs="Arial"/>
                <w:b/>
                <w:sz w:val="22"/>
                <w:szCs w:val="22"/>
              </w:rPr>
            </w:pPr>
          </w:p>
        </w:tc>
        <w:tc>
          <w:tcPr>
            <w:tcW w:w="708" w:type="dxa"/>
          </w:tcPr>
          <w:p w14:paraId="48FF388B" w14:textId="77777777" w:rsidR="00D415D2" w:rsidRPr="00B9503F" w:rsidRDefault="00D415D2" w:rsidP="008F44CA">
            <w:pPr>
              <w:spacing w:before="100" w:line="276" w:lineRule="auto"/>
              <w:jc w:val="both"/>
              <w:rPr>
                <w:rFonts w:ascii="Arial" w:hAnsi="Arial" w:cs="Arial"/>
                <w:b/>
                <w:sz w:val="22"/>
                <w:szCs w:val="22"/>
              </w:rPr>
            </w:pPr>
          </w:p>
        </w:tc>
        <w:tc>
          <w:tcPr>
            <w:tcW w:w="1135" w:type="dxa"/>
          </w:tcPr>
          <w:p w14:paraId="02290152" w14:textId="77777777" w:rsidR="00D415D2" w:rsidRPr="00B9503F" w:rsidRDefault="00D415D2" w:rsidP="008F44CA">
            <w:pPr>
              <w:spacing w:before="100" w:line="276" w:lineRule="auto"/>
              <w:jc w:val="both"/>
              <w:rPr>
                <w:rFonts w:ascii="Arial" w:hAnsi="Arial" w:cs="Arial"/>
                <w:b/>
                <w:sz w:val="22"/>
                <w:szCs w:val="22"/>
              </w:rPr>
            </w:pPr>
            <w:r w:rsidRPr="00B9503F">
              <w:rPr>
                <w:rFonts w:ascii="Arial" w:hAnsi="Arial" w:cs="Arial"/>
                <w:b/>
                <w:sz w:val="22"/>
                <w:szCs w:val="22"/>
              </w:rPr>
              <w:t>1.361,19</w:t>
            </w:r>
          </w:p>
        </w:tc>
      </w:tr>
    </w:tbl>
    <w:p w14:paraId="00398E16" w14:textId="77777777" w:rsidR="00D415D2" w:rsidRPr="00B9503F" w:rsidRDefault="00D415D2" w:rsidP="008F44CA">
      <w:pPr>
        <w:spacing w:before="120" w:after="120" w:line="276" w:lineRule="auto"/>
        <w:jc w:val="both"/>
        <w:rPr>
          <w:rFonts w:ascii="Arial" w:hAnsi="Arial" w:cs="Arial"/>
          <w:b/>
          <w:sz w:val="22"/>
          <w:szCs w:val="22"/>
        </w:rPr>
      </w:pPr>
    </w:p>
    <w:p w14:paraId="3B0C95D8" w14:textId="77777777" w:rsidR="00D415D2" w:rsidRPr="00B9503F" w:rsidRDefault="00D415D2" w:rsidP="008F44CA">
      <w:pPr>
        <w:spacing w:before="120" w:after="120" w:line="276" w:lineRule="auto"/>
        <w:jc w:val="both"/>
        <w:rPr>
          <w:rFonts w:ascii="Arial" w:hAnsi="Arial" w:cs="Arial"/>
          <w:b/>
          <w:sz w:val="22"/>
          <w:szCs w:val="22"/>
        </w:rPr>
      </w:pPr>
      <w:r w:rsidRPr="00B9503F">
        <w:rPr>
          <w:rFonts w:ascii="Arial" w:hAnsi="Arial" w:cs="Arial"/>
          <w:b/>
          <w:sz w:val="22"/>
          <w:szCs w:val="22"/>
        </w:rPr>
        <w:t>6. Hitos y objetivos de la inversión:</w:t>
      </w:r>
    </w:p>
    <w:p w14:paraId="0AA0DC5D" w14:textId="542A3692" w:rsidR="00D415D2" w:rsidRPr="00B9503F" w:rsidRDefault="00D415D2" w:rsidP="008F44CA">
      <w:pPr>
        <w:spacing w:before="120" w:after="120" w:line="276" w:lineRule="auto"/>
        <w:jc w:val="both"/>
        <w:rPr>
          <w:rFonts w:ascii="Arial" w:hAnsi="Arial" w:cs="Arial"/>
          <w:bCs/>
          <w:sz w:val="22"/>
          <w:szCs w:val="22"/>
        </w:rPr>
      </w:pPr>
      <w:r w:rsidRPr="00B9503F">
        <w:rPr>
          <w:rFonts w:ascii="Arial" w:hAnsi="Arial" w:cs="Arial"/>
          <w:bCs/>
          <w:sz w:val="22"/>
          <w:szCs w:val="22"/>
        </w:rPr>
        <w:t>Desde la AESAN se llevará a cabo la dotación de sistemas de información para la prestación de servicios públicos digitales eficientes y desarrollará y realizará el mantenimiento de su sede electrónica y su página web.</w:t>
      </w:r>
    </w:p>
    <w:p w14:paraId="727C64B7" w14:textId="1357F41A" w:rsidR="00B9503F" w:rsidRPr="00B9503F" w:rsidRDefault="00B9503F" w:rsidP="008F44CA">
      <w:pPr>
        <w:spacing w:before="120" w:after="120" w:line="276" w:lineRule="auto"/>
        <w:jc w:val="both"/>
        <w:rPr>
          <w:rFonts w:ascii="Arial" w:hAnsi="Arial" w:cs="Arial"/>
          <w:bCs/>
          <w:sz w:val="22"/>
          <w:szCs w:val="22"/>
        </w:rPr>
      </w:pPr>
      <w:r w:rsidRPr="008F44CA">
        <w:rPr>
          <w:rFonts w:ascii="Arial" w:hAnsi="Arial" w:cs="Arial"/>
          <w:bCs/>
          <w:sz w:val="22"/>
          <w:szCs w:val="22"/>
        </w:rPr>
        <w:t>Se completará por lo tanto la digitalización en la Administración Central del Estado, de manera que AESAN será capaz de poner en marcha vínculos informáticos funcionales, demostrando una mejora en la prestación de estos servicios.</w:t>
      </w:r>
    </w:p>
    <w:p w14:paraId="4C7D9437" w14:textId="08ABD647" w:rsidR="00AD423E" w:rsidRPr="00B9503F" w:rsidRDefault="00AD423E" w:rsidP="00B9503F">
      <w:pPr>
        <w:spacing w:before="120" w:after="120" w:line="360" w:lineRule="exact"/>
        <w:jc w:val="both"/>
        <w:rPr>
          <w:rFonts w:ascii="Arial" w:hAnsi="Arial" w:cs="Arial"/>
          <w:bCs/>
          <w:sz w:val="22"/>
          <w:szCs w:val="22"/>
        </w:rPr>
      </w:pPr>
    </w:p>
    <w:p w14:paraId="43482288" w14:textId="77777777" w:rsidR="00AD423E" w:rsidRPr="00B9503F" w:rsidRDefault="00AD423E" w:rsidP="00D415D2">
      <w:pPr>
        <w:spacing w:before="120" w:after="120" w:line="360" w:lineRule="exact"/>
        <w:jc w:val="both"/>
        <w:rPr>
          <w:rFonts w:ascii="Arial" w:hAnsi="Arial" w:cs="Arial"/>
          <w:bCs/>
          <w:sz w:val="22"/>
          <w:szCs w:val="22"/>
          <w:lang w:val="es-ES"/>
        </w:rPr>
      </w:pPr>
    </w:p>
    <w:sectPr w:rsidR="00AD423E" w:rsidRPr="00B9503F" w:rsidSect="008B3CA0">
      <w:pgSz w:w="11907" w:h="16840"/>
      <w:pgMar w:top="1701" w:right="1134" w:bottom="170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544DB"/>
    <w:multiLevelType w:val="hybridMultilevel"/>
    <w:tmpl w:val="78DC0018"/>
    <w:lvl w:ilvl="0" w:tplc="0C0A0005">
      <w:start w:val="1"/>
      <w:numFmt w:val="bullet"/>
      <w:lvlText w:val=""/>
      <w:lvlJc w:val="left"/>
      <w:pPr>
        <w:ind w:left="1080" w:hanging="360"/>
      </w:pPr>
      <w:rPr>
        <w:rFonts w:ascii="Wingdings" w:hAnsi="Wingdings"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 w15:restartNumberingAfterBreak="0">
    <w:nsid w:val="045265AE"/>
    <w:multiLevelType w:val="hybridMultilevel"/>
    <w:tmpl w:val="29FCF968"/>
    <w:lvl w:ilvl="0" w:tplc="0C0A0001">
      <w:start w:val="1"/>
      <w:numFmt w:val="bullet"/>
      <w:lvlText w:val=""/>
      <w:lvlJc w:val="left"/>
      <w:pPr>
        <w:ind w:left="1080" w:hanging="720"/>
      </w:pPr>
      <w:rPr>
        <w:rFonts w:ascii="Symbol" w:hAnsi="Symbo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0E5A33EC"/>
    <w:multiLevelType w:val="hybridMultilevel"/>
    <w:tmpl w:val="32264F64"/>
    <w:lvl w:ilvl="0" w:tplc="0C0A000F">
      <w:start w:val="1"/>
      <w:numFmt w:val="decimal"/>
      <w:lvlText w:val="%1."/>
      <w:lvlJc w:val="left"/>
      <w:pPr>
        <w:ind w:left="1068" w:hanging="708"/>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0F9583E"/>
    <w:multiLevelType w:val="hybridMultilevel"/>
    <w:tmpl w:val="36BC3CB4"/>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199647B1"/>
    <w:multiLevelType w:val="hybridMultilevel"/>
    <w:tmpl w:val="3C9C750E"/>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36C43D36"/>
    <w:multiLevelType w:val="hybridMultilevel"/>
    <w:tmpl w:val="186687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5D38099F"/>
    <w:multiLevelType w:val="hybridMultilevel"/>
    <w:tmpl w:val="C19C0730"/>
    <w:lvl w:ilvl="0" w:tplc="454A94C4">
      <w:numFmt w:val="bullet"/>
      <w:lvlText w:val="-"/>
      <w:lvlJc w:val="left"/>
      <w:pPr>
        <w:ind w:left="1068" w:hanging="708"/>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65427271"/>
    <w:multiLevelType w:val="hybridMultilevel"/>
    <w:tmpl w:val="605AEB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67724200"/>
    <w:multiLevelType w:val="hybridMultilevel"/>
    <w:tmpl w:val="7828390A"/>
    <w:lvl w:ilvl="0" w:tplc="DA2EB2D6">
      <w:numFmt w:val="bullet"/>
      <w:lvlText w:val="-"/>
      <w:lvlJc w:val="left"/>
      <w:pPr>
        <w:ind w:left="720" w:hanging="360"/>
      </w:pPr>
      <w:rPr>
        <w:rFonts w:ascii="Calibri" w:eastAsia="Calibri" w:hAnsi="Calibri"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2"/>
  </w:num>
  <w:num w:numId="4">
    <w:abstractNumId w:val="1"/>
  </w:num>
  <w:num w:numId="5">
    <w:abstractNumId w:val="5"/>
  </w:num>
  <w:num w:numId="6">
    <w:abstractNumId w:val="0"/>
  </w:num>
  <w:num w:numId="7">
    <w:abstractNumId w:val="8"/>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69D"/>
    <w:rsid w:val="00012267"/>
    <w:rsid w:val="00062AE0"/>
    <w:rsid w:val="00080CFF"/>
    <w:rsid w:val="000A1311"/>
    <w:rsid w:val="000C68A4"/>
    <w:rsid w:val="000F3FBB"/>
    <w:rsid w:val="001A5F87"/>
    <w:rsid w:val="001B34B9"/>
    <w:rsid w:val="00214CE9"/>
    <w:rsid w:val="002E7003"/>
    <w:rsid w:val="002F0C59"/>
    <w:rsid w:val="003154A2"/>
    <w:rsid w:val="003208C4"/>
    <w:rsid w:val="00343745"/>
    <w:rsid w:val="00382F6E"/>
    <w:rsid w:val="003A7E9B"/>
    <w:rsid w:val="003D56D8"/>
    <w:rsid w:val="0046397C"/>
    <w:rsid w:val="00517824"/>
    <w:rsid w:val="00564761"/>
    <w:rsid w:val="005B477A"/>
    <w:rsid w:val="005C4BF4"/>
    <w:rsid w:val="005F015F"/>
    <w:rsid w:val="0062023C"/>
    <w:rsid w:val="00656CAA"/>
    <w:rsid w:val="0069336F"/>
    <w:rsid w:val="006F018F"/>
    <w:rsid w:val="00762746"/>
    <w:rsid w:val="007A5158"/>
    <w:rsid w:val="007B6373"/>
    <w:rsid w:val="007E37FC"/>
    <w:rsid w:val="007F3B1F"/>
    <w:rsid w:val="008076C5"/>
    <w:rsid w:val="008476C0"/>
    <w:rsid w:val="008620A4"/>
    <w:rsid w:val="008B3CA0"/>
    <w:rsid w:val="008B6197"/>
    <w:rsid w:val="008B6C42"/>
    <w:rsid w:val="008D6462"/>
    <w:rsid w:val="008F0C79"/>
    <w:rsid w:val="008F44CA"/>
    <w:rsid w:val="0093453B"/>
    <w:rsid w:val="00952F88"/>
    <w:rsid w:val="00991697"/>
    <w:rsid w:val="009A64D7"/>
    <w:rsid w:val="009A7074"/>
    <w:rsid w:val="00A06941"/>
    <w:rsid w:val="00A32DF7"/>
    <w:rsid w:val="00A44DEA"/>
    <w:rsid w:val="00A57D35"/>
    <w:rsid w:val="00A9503D"/>
    <w:rsid w:val="00AB4B13"/>
    <w:rsid w:val="00AD423E"/>
    <w:rsid w:val="00AE318F"/>
    <w:rsid w:val="00B30BB6"/>
    <w:rsid w:val="00B44F93"/>
    <w:rsid w:val="00B60E70"/>
    <w:rsid w:val="00B6769D"/>
    <w:rsid w:val="00B80D92"/>
    <w:rsid w:val="00B9503F"/>
    <w:rsid w:val="00BB0E5E"/>
    <w:rsid w:val="00BB64BC"/>
    <w:rsid w:val="00BE5B5A"/>
    <w:rsid w:val="00C458A4"/>
    <w:rsid w:val="00C87CB2"/>
    <w:rsid w:val="00CA5DBC"/>
    <w:rsid w:val="00CB75ED"/>
    <w:rsid w:val="00D415D2"/>
    <w:rsid w:val="00D46D8D"/>
    <w:rsid w:val="00ED092E"/>
    <w:rsid w:val="00F0562F"/>
    <w:rsid w:val="00F76D9D"/>
    <w:rsid w:val="00F92F51"/>
    <w:rsid w:val="00FB3ABD"/>
    <w:rsid w:val="00FE207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06387B"/>
  <w15:docId w15:val="{EC5E6278-3968-4AC8-8964-9C11EE20D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620A4"/>
    <w:pPr>
      <w:ind w:left="720"/>
      <w:contextualSpacing/>
    </w:pPr>
  </w:style>
  <w:style w:type="table" w:styleId="Tablaconcuadrcula">
    <w:name w:val="Table Grid"/>
    <w:basedOn w:val="Tablanormal"/>
    <w:rsid w:val="008620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unhideWhenUsed/>
    <w:rsid w:val="003208C4"/>
    <w:rPr>
      <w:rFonts w:ascii="Segoe UI" w:hAnsi="Segoe UI" w:cs="Segoe UI"/>
      <w:sz w:val="18"/>
      <w:szCs w:val="18"/>
    </w:rPr>
  </w:style>
  <w:style w:type="character" w:customStyle="1" w:styleId="TextodegloboCar">
    <w:name w:val="Texto de globo Car"/>
    <w:basedOn w:val="Fuentedeprrafopredeter"/>
    <w:link w:val="Textodeglobo"/>
    <w:semiHidden/>
    <w:rsid w:val="003208C4"/>
    <w:rPr>
      <w:rFonts w:ascii="Segoe UI" w:hAnsi="Segoe UI" w:cs="Segoe UI"/>
      <w:sz w:val="18"/>
      <w:szCs w:val="18"/>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127862">
      <w:bodyDiv w:val="1"/>
      <w:marLeft w:val="0"/>
      <w:marRight w:val="0"/>
      <w:marTop w:val="0"/>
      <w:marBottom w:val="0"/>
      <w:divBdr>
        <w:top w:val="none" w:sz="0" w:space="0" w:color="auto"/>
        <w:left w:val="none" w:sz="0" w:space="0" w:color="auto"/>
        <w:bottom w:val="none" w:sz="0" w:space="0" w:color="auto"/>
        <w:right w:val="none" w:sz="0" w:space="0" w:color="auto"/>
      </w:divBdr>
    </w:div>
    <w:div w:id="471755209">
      <w:bodyDiv w:val="1"/>
      <w:marLeft w:val="0"/>
      <w:marRight w:val="0"/>
      <w:marTop w:val="0"/>
      <w:marBottom w:val="0"/>
      <w:divBdr>
        <w:top w:val="none" w:sz="0" w:space="0" w:color="auto"/>
        <w:left w:val="none" w:sz="0" w:space="0" w:color="auto"/>
        <w:bottom w:val="none" w:sz="0" w:space="0" w:color="auto"/>
        <w:right w:val="none" w:sz="0" w:space="0" w:color="auto"/>
      </w:divBdr>
    </w:div>
    <w:div w:id="525365591">
      <w:bodyDiv w:val="1"/>
      <w:marLeft w:val="0"/>
      <w:marRight w:val="0"/>
      <w:marTop w:val="0"/>
      <w:marBottom w:val="0"/>
      <w:divBdr>
        <w:top w:val="none" w:sz="0" w:space="0" w:color="auto"/>
        <w:left w:val="none" w:sz="0" w:space="0" w:color="auto"/>
        <w:bottom w:val="none" w:sz="0" w:space="0" w:color="auto"/>
        <w:right w:val="none" w:sz="0" w:space="0" w:color="auto"/>
      </w:divBdr>
    </w:div>
    <w:div w:id="760489801">
      <w:bodyDiv w:val="1"/>
      <w:marLeft w:val="0"/>
      <w:marRight w:val="0"/>
      <w:marTop w:val="0"/>
      <w:marBottom w:val="0"/>
      <w:divBdr>
        <w:top w:val="none" w:sz="0" w:space="0" w:color="auto"/>
        <w:left w:val="none" w:sz="0" w:space="0" w:color="auto"/>
        <w:bottom w:val="none" w:sz="0" w:space="0" w:color="auto"/>
        <w:right w:val="none" w:sz="0" w:space="0" w:color="auto"/>
      </w:divBdr>
    </w:div>
    <w:div w:id="976644411">
      <w:bodyDiv w:val="1"/>
      <w:marLeft w:val="0"/>
      <w:marRight w:val="0"/>
      <w:marTop w:val="0"/>
      <w:marBottom w:val="0"/>
      <w:divBdr>
        <w:top w:val="none" w:sz="0" w:space="0" w:color="auto"/>
        <w:left w:val="none" w:sz="0" w:space="0" w:color="auto"/>
        <w:bottom w:val="none" w:sz="0" w:space="0" w:color="auto"/>
        <w:right w:val="none" w:sz="0" w:space="0" w:color="auto"/>
      </w:divBdr>
    </w:div>
    <w:div w:id="1516263530">
      <w:bodyDiv w:val="1"/>
      <w:marLeft w:val="0"/>
      <w:marRight w:val="0"/>
      <w:marTop w:val="0"/>
      <w:marBottom w:val="0"/>
      <w:divBdr>
        <w:top w:val="none" w:sz="0" w:space="0" w:color="auto"/>
        <w:left w:val="none" w:sz="0" w:space="0" w:color="auto"/>
        <w:bottom w:val="none" w:sz="0" w:space="0" w:color="auto"/>
        <w:right w:val="none" w:sz="0" w:space="0" w:color="auto"/>
      </w:divBdr>
    </w:div>
    <w:div w:id="1622373201">
      <w:bodyDiv w:val="1"/>
      <w:marLeft w:val="0"/>
      <w:marRight w:val="0"/>
      <w:marTop w:val="0"/>
      <w:marBottom w:val="0"/>
      <w:divBdr>
        <w:top w:val="none" w:sz="0" w:space="0" w:color="auto"/>
        <w:left w:val="none" w:sz="0" w:space="0" w:color="auto"/>
        <w:bottom w:val="none" w:sz="0" w:space="0" w:color="auto"/>
        <w:right w:val="none" w:sz="0" w:space="0" w:color="auto"/>
      </w:divBdr>
    </w:div>
    <w:div w:id="1661498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B5393F-998A-492B-8319-53AC2244E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2008</Words>
  <Characters>11048</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Ficha P202 (Presupuestos Generales del Estado para 1999)</vt:lpstr>
    </vt:vector>
  </TitlesOfParts>
  <Company>SGAPP</Company>
  <LinksUpToDate>false</LinksUpToDate>
  <CharactersWithSpaces>13030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P202 (Presupuestos Generales del Estado para 1999)</dc:title>
  <dc:creator>otro usuario</dc:creator>
  <cp:lastModifiedBy>Rodríguez Castaño. Ana</cp:lastModifiedBy>
  <cp:revision>5</cp:revision>
  <cp:lastPrinted>2021-06-09T11:44:00Z</cp:lastPrinted>
  <dcterms:created xsi:type="dcterms:W3CDTF">2021-09-20T08:28:00Z</dcterms:created>
  <dcterms:modified xsi:type="dcterms:W3CDTF">2021-09-20T09:08:00Z</dcterms:modified>
</cp:coreProperties>
</file>